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65C6" w14:textId="2CD733EB" w:rsidR="00C84809" w:rsidRPr="00E377F3" w:rsidRDefault="00C84809" w:rsidP="00151FB0">
      <w:pPr>
        <w:spacing w:line="480" w:lineRule="auto"/>
        <w:jc w:val="center"/>
        <w:rPr>
          <w:rFonts w:ascii="Times New Roman" w:hAnsi="Times New Roman" w:cs="Times New Roman"/>
          <w:sz w:val="24"/>
          <w:szCs w:val="24"/>
        </w:rPr>
      </w:pPr>
      <w:r w:rsidRPr="00E377F3">
        <w:rPr>
          <w:rFonts w:ascii="Times New Roman" w:hAnsi="Times New Roman" w:cs="Times New Roman"/>
          <w:sz w:val="24"/>
          <w:szCs w:val="24"/>
        </w:rPr>
        <w:t xml:space="preserve">Decreto </w:t>
      </w:r>
      <w:r w:rsidR="001770D8" w:rsidRPr="00E377F3">
        <w:rPr>
          <w:rFonts w:ascii="Times New Roman" w:hAnsi="Times New Roman" w:cs="Times New Roman"/>
          <w:sz w:val="24"/>
          <w:szCs w:val="24"/>
        </w:rPr>
        <w:t xml:space="preserve">Ejecutivo </w:t>
      </w:r>
      <w:r w:rsidRPr="00E377F3">
        <w:rPr>
          <w:rFonts w:ascii="Times New Roman" w:hAnsi="Times New Roman" w:cs="Times New Roman"/>
          <w:sz w:val="24"/>
          <w:szCs w:val="24"/>
        </w:rPr>
        <w:t>N° _________ MIVAH-MEIC</w:t>
      </w:r>
    </w:p>
    <w:p w14:paraId="6F50E33E" w14:textId="77777777" w:rsidR="00D660A4" w:rsidRPr="00E377F3" w:rsidRDefault="00D660A4" w:rsidP="00151FB0">
      <w:pPr>
        <w:spacing w:line="480" w:lineRule="auto"/>
        <w:jc w:val="center"/>
        <w:rPr>
          <w:rFonts w:ascii="Times New Roman" w:hAnsi="Times New Roman" w:cs="Times New Roman"/>
          <w:sz w:val="24"/>
          <w:szCs w:val="24"/>
        </w:rPr>
      </w:pPr>
    </w:p>
    <w:p w14:paraId="20B17A2A" w14:textId="4B49F536" w:rsidR="00151FB0" w:rsidRPr="00E377F3" w:rsidRDefault="007C67E6" w:rsidP="00151FB0">
      <w:pPr>
        <w:spacing w:line="480" w:lineRule="auto"/>
        <w:jc w:val="center"/>
        <w:rPr>
          <w:rFonts w:ascii="Times New Roman" w:hAnsi="Times New Roman" w:cs="Times New Roman"/>
          <w:sz w:val="24"/>
          <w:szCs w:val="24"/>
        </w:rPr>
      </w:pPr>
      <w:r w:rsidRPr="00E377F3">
        <w:rPr>
          <w:rFonts w:ascii="Times New Roman" w:hAnsi="Times New Roman" w:cs="Times New Roman"/>
          <w:sz w:val="24"/>
          <w:szCs w:val="24"/>
        </w:rPr>
        <w:t xml:space="preserve">EL PRESIDENTE DE LA REPÚBLICA, </w:t>
      </w:r>
    </w:p>
    <w:p w14:paraId="53A87029" w14:textId="77777777" w:rsidR="00151FB0" w:rsidRPr="00E377F3" w:rsidRDefault="007C67E6" w:rsidP="00151FB0">
      <w:pPr>
        <w:spacing w:line="480" w:lineRule="auto"/>
        <w:jc w:val="center"/>
        <w:rPr>
          <w:rFonts w:ascii="Times New Roman" w:hAnsi="Times New Roman" w:cs="Times New Roman"/>
          <w:sz w:val="24"/>
          <w:szCs w:val="24"/>
        </w:rPr>
      </w:pPr>
      <w:r w:rsidRPr="00E377F3">
        <w:rPr>
          <w:rFonts w:ascii="Times New Roman" w:hAnsi="Times New Roman" w:cs="Times New Roman"/>
          <w:sz w:val="24"/>
          <w:szCs w:val="24"/>
        </w:rPr>
        <w:t>LA MINISTRA DE V</w:t>
      </w:r>
      <w:r w:rsidR="0034032A" w:rsidRPr="00E377F3">
        <w:rPr>
          <w:rFonts w:ascii="Times New Roman" w:hAnsi="Times New Roman" w:cs="Times New Roman"/>
          <w:sz w:val="24"/>
          <w:szCs w:val="24"/>
        </w:rPr>
        <w:t>IVIENDA Y ASENTAMIENTOS HUMANOS</w:t>
      </w:r>
      <w:r w:rsidRPr="00E377F3">
        <w:rPr>
          <w:rFonts w:ascii="Times New Roman" w:hAnsi="Times New Roman" w:cs="Times New Roman"/>
          <w:sz w:val="24"/>
          <w:szCs w:val="24"/>
        </w:rPr>
        <w:t xml:space="preserve"> </w:t>
      </w:r>
    </w:p>
    <w:p w14:paraId="7FE3B9B5" w14:textId="77777777" w:rsidR="00E27A1E" w:rsidRPr="00E377F3" w:rsidRDefault="00151FB0" w:rsidP="00151FB0">
      <w:pPr>
        <w:spacing w:line="480" w:lineRule="auto"/>
        <w:jc w:val="center"/>
        <w:rPr>
          <w:rFonts w:ascii="Times New Roman" w:hAnsi="Times New Roman" w:cs="Times New Roman"/>
          <w:sz w:val="24"/>
          <w:szCs w:val="24"/>
        </w:rPr>
      </w:pPr>
      <w:r w:rsidRPr="00E377F3">
        <w:rPr>
          <w:rFonts w:ascii="Times New Roman" w:hAnsi="Times New Roman" w:cs="Times New Roman"/>
          <w:sz w:val="24"/>
          <w:szCs w:val="24"/>
        </w:rPr>
        <w:t>Y L</w:t>
      </w:r>
      <w:r w:rsidR="0034032A" w:rsidRPr="00E377F3">
        <w:rPr>
          <w:rFonts w:ascii="Times New Roman" w:hAnsi="Times New Roman" w:cs="Times New Roman"/>
          <w:sz w:val="24"/>
          <w:szCs w:val="24"/>
        </w:rPr>
        <w:t>A</w:t>
      </w:r>
      <w:r w:rsidRPr="00E377F3">
        <w:rPr>
          <w:rFonts w:ascii="Times New Roman" w:hAnsi="Times New Roman" w:cs="Times New Roman"/>
          <w:sz w:val="24"/>
          <w:szCs w:val="24"/>
        </w:rPr>
        <w:t xml:space="preserve"> </w:t>
      </w:r>
      <w:r w:rsidR="00D9745C" w:rsidRPr="00E377F3">
        <w:rPr>
          <w:rFonts w:ascii="Times New Roman" w:hAnsi="Times New Roman" w:cs="Times New Roman"/>
          <w:sz w:val="24"/>
          <w:szCs w:val="24"/>
        </w:rPr>
        <w:t>MINISTR</w:t>
      </w:r>
      <w:r w:rsidR="0034032A" w:rsidRPr="00E377F3">
        <w:rPr>
          <w:rFonts w:ascii="Times New Roman" w:hAnsi="Times New Roman" w:cs="Times New Roman"/>
          <w:sz w:val="24"/>
          <w:szCs w:val="24"/>
        </w:rPr>
        <w:t>A</w:t>
      </w:r>
      <w:r w:rsidR="00D9745C" w:rsidRPr="00E377F3">
        <w:rPr>
          <w:rFonts w:ascii="Times New Roman" w:hAnsi="Times New Roman" w:cs="Times New Roman"/>
          <w:sz w:val="24"/>
          <w:szCs w:val="24"/>
        </w:rPr>
        <w:t xml:space="preserve"> DE </w:t>
      </w:r>
      <w:r w:rsidRPr="00E377F3">
        <w:rPr>
          <w:rFonts w:ascii="Times New Roman" w:hAnsi="Times New Roman" w:cs="Times New Roman"/>
          <w:sz w:val="24"/>
          <w:szCs w:val="24"/>
        </w:rPr>
        <w:t xml:space="preserve">ECONOMÍA, INDUSTRIA Y COMERCIO </w:t>
      </w:r>
    </w:p>
    <w:p w14:paraId="5E5850FC" w14:textId="52A664C5" w:rsidR="00D9745C" w:rsidRPr="00E377F3" w:rsidRDefault="008C5E0B" w:rsidP="00151FB0">
      <w:p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Con fundamento en las atribuciones y facultades que confieren los artículos 140 incisos 3)</w:t>
      </w:r>
      <w:r w:rsidR="00C45E34" w:rsidRPr="00E377F3">
        <w:rPr>
          <w:rFonts w:ascii="Times New Roman" w:hAnsi="Times New Roman" w:cs="Times New Roman"/>
          <w:sz w:val="24"/>
          <w:szCs w:val="24"/>
        </w:rPr>
        <w:t>, 8)</w:t>
      </w:r>
      <w:r w:rsidRPr="00E377F3">
        <w:rPr>
          <w:rFonts w:ascii="Times New Roman" w:hAnsi="Times New Roman" w:cs="Times New Roman"/>
          <w:sz w:val="24"/>
          <w:szCs w:val="24"/>
        </w:rPr>
        <w:t xml:space="preserve"> y 18) y 146 de la Constitución Política del 7 de noviembre de 1949; </w:t>
      </w:r>
      <w:r w:rsidR="00333D99" w:rsidRPr="00E377F3">
        <w:rPr>
          <w:rFonts w:ascii="Times New Roman" w:hAnsi="Times New Roman" w:cs="Times New Roman"/>
          <w:sz w:val="24"/>
          <w:szCs w:val="24"/>
        </w:rPr>
        <w:t xml:space="preserve">25, inciso 1), 27 </w:t>
      </w:r>
      <w:r w:rsidR="00390958" w:rsidRPr="00E377F3">
        <w:rPr>
          <w:rFonts w:ascii="Times New Roman" w:hAnsi="Times New Roman" w:cs="Times New Roman"/>
          <w:sz w:val="24"/>
          <w:szCs w:val="24"/>
        </w:rPr>
        <w:t>inciso 1) y</w:t>
      </w:r>
      <w:r w:rsidRPr="00E377F3">
        <w:rPr>
          <w:rFonts w:ascii="Times New Roman" w:hAnsi="Times New Roman" w:cs="Times New Roman"/>
          <w:sz w:val="24"/>
          <w:szCs w:val="24"/>
        </w:rPr>
        <w:t xml:space="preserve"> 28 </w:t>
      </w:r>
      <w:r w:rsidR="00333D99" w:rsidRPr="00E377F3">
        <w:rPr>
          <w:rFonts w:ascii="Times New Roman" w:hAnsi="Times New Roman" w:cs="Times New Roman"/>
          <w:sz w:val="24"/>
          <w:szCs w:val="24"/>
        </w:rPr>
        <w:t xml:space="preserve">inciso </w:t>
      </w:r>
      <w:r w:rsidRPr="00E377F3">
        <w:rPr>
          <w:rFonts w:ascii="Times New Roman" w:hAnsi="Times New Roman" w:cs="Times New Roman"/>
          <w:sz w:val="24"/>
          <w:szCs w:val="24"/>
        </w:rPr>
        <w:t>2</w:t>
      </w:r>
      <w:r w:rsidR="00333D99" w:rsidRPr="00E377F3">
        <w:rPr>
          <w:rFonts w:ascii="Times New Roman" w:hAnsi="Times New Roman" w:cs="Times New Roman"/>
          <w:sz w:val="24"/>
          <w:szCs w:val="24"/>
        </w:rPr>
        <w:t>) acápite</w:t>
      </w:r>
      <w:r w:rsidRPr="00E377F3">
        <w:rPr>
          <w:rFonts w:ascii="Times New Roman" w:hAnsi="Times New Roman" w:cs="Times New Roman"/>
          <w:sz w:val="24"/>
          <w:szCs w:val="24"/>
        </w:rPr>
        <w:t xml:space="preserve"> b) de la Ley Nº6227 del 2 de mayo de 1978, Ley</w:t>
      </w:r>
      <w:r w:rsidR="007C445B" w:rsidRPr="00E377F3">
        <w:rPr>
          <w:rFonts w:ascii="Times New Roman" w:hAnsi="Times New Roman" w:cs="Times New Roman"/>
          <w:sz w:val="24"/>
          <w:szCs w:val="24"/>
        </w:rPr>
        <w:t xml:space="preserve"> </w:t>
      </w:r>
      <w:r w:rsidRPr="00E377F3">
        <w:rPr>
          <w:rFonts w:ascii="Times New Roman" w:hAnsi="Times New Roman" w:cs="Times New Roman"/>
          <w:sz w:val="24"/>
          <w:szCs w:val="24"/>
        </w:rPr>
        <w:t>General de la Administración Pública</w:t>
      </w:r>
      <w:r w:rsidR="00390958" w:rsidRPr="00E377F3">
        <w:rPr>
          <w:rFonts w:ascii="Times New Roman" w:hAnsi="Times New Roman" w:cs="Times New Roman"/>
          <w:sz w:val="24"/>
          <w:szCs w:val="24"/>
        </w:rPr>
        <w:t xml:space="preserve"> y el artículo 67 inciso b) de la </w:t>
      </w:r>
      <w:r w:rsidR="00333D99" w:rsidRPr="00E377F3">
        <w:rPr>
          <w:rFonts w:ascii="Times New Roman" w:hAnsi="Times New Roman" w:cs="Times New Roman"/>
          <w:sz w:val="24"/>
          <w:szCs w:val="24"/>
        </w:rPr>
        <w:t xml:space="preserve">Ley Nº7527 de 10 de julio de 1995 y sus reformas, </w:t>
      </w:r>
      <w:r w:rsidR="00390958" w:rsidRPr="00E377F3">
        <w:rPr>
          <w:rFonts w:ascii="Times New Roman" w:hAnsi="Times New Roman" w:cs="Times New Roman"/>
          <w:sz w:val="24"/>
          <w:szCs w:val="24"/>
        </w:rPr>
        <w:t xml:space="preserve">Ley </w:t>
      </w:r>
      <w:r w:rsidR="00333D99" w:rsidRPr="00E377F3">
        <w:rPr>
          <w:rFonts w:ascii="Times New Roman" w:hAnsi="Times New Roman" w:cs="Times New Roman"/>
          <w:sz w:val="24"/>
          <w:szCs w:val="24"/>
        </w:rPr>
        <w:t>General</w:t>
      </w:r>
      <w:r w:rsidR="004E2845" w:rsidRPr="00E377F3">
        <w:rPr>
          <w:rFonts w:ascii="Times New Roman" w:hAnsi="Times New Roman" w:cs="Times New Roman"/>
          <w:sz w:val="24"/>
          <w:szCs w:val="24"/>
        </w:rPr>
        <w:t xml:space="preserve"> </w:t>
      </w:r>
      <w:r w:rsidR="00390958" w:rsidRPr="00E377F3">
        <w:rPr>
          <w:rFonts w:ascii="Times New Roman" w:hAnsi="Times New Roman" w:cs="Times New Roman"/>
          <w:sz w:val="24"/>
          <w:szCs w:val="24"/>
        </w:rPr>
        <w:t>de Arrendamie</w:t>
      </w:r>
      <w:r w:rsidR="00333D99" w:rsidRPr="00E377F3">
        <w:rPr>
          <w:rFonts w:ascii="Times New Roman" w:hAnsi="Times New Roman" w:cs="Times New Roman"/>
          <w:sz w:val="24"/>
          <w:szCs w:val="24"/>
        </w:rPr>
        <w:t>ntos Urbanos y Suburbanos.</w:t>
      </w:r>
    </w:p>
    <w:p w14:paraId="7D27B3AD" w14:textId="77777777" w:rsidR="00F931C8" w:rsidRPr="00E377F3" w:rsidRDefault="00194922" w:rsidP="00F931C8">
      <w:pPr>
        <w:jc w:val="center"/>
        <w:rPr>
          <w:rFonts w:ascii="Times New Roman" w:hAnsi="Times New Roman" w:cs="Times New Roman"/>
          <w:bCs/>
          <w:sz w:val="24"/>
          <w:szCs w:val="24"/>
        </w:rPr>
      </w:pPr>
      <w:r w:rsidRPr="00E377F3">
        <w:rPr>
          <w:rFonts w:ascii="Times New Roman" w:hAnsi="Times New Roman" w:cs="Times New Roman"/>
          <w:bCs/>
          <w:sz w:val="24"/>
          <w:szCs w:val="24"/>
        </w:rPr>
        <w:t>Considerando</w:t>
      </w:r>
      <w:r w:rsidR="00E049A3" w:rsidRPr="00E377F3">
        <w:rPr>
          <w:rFonts w:ascii="Times New Roman" w:hAnsi="Times New Roman" w:cs="Times New Roman"/>
          <w:bCs/>
          <w:sz w:val="24"/>
          <w:szCs w:val="24"/>
        </w:rPr>
        <w:t>:</w:t>
      </w:r>
    </w:p>
    <w:p w14:paraId="7724F5C5" w14:textId="77777777" w:rsidR="00E27A1E" w:rsidRPr="00E377F3" w:rsidRDefault="00E27A1E" w:rsidP="0074176F">
      <w:pPr>
        <w:rPr>
          <w:rFonts w:ascii="Times New Roman" w:hAnsi="Times New Roman" w:cs="Times New Roman"/>
          <w:sz w:val="24"/>
          <w:szCs w:val="24"/>
        </w:rPr>
      </w:pPr>
    </w:p>
    <w:p w14:paraId="5FF58591" w14:textId="6B211FA7" w:rsidR="00916F48" w:rsidRPr="00E377F3" w:rsidRDefault="005C4F29" w:rsidP="00916F48">
      <w:pPr>
        <w:pStyle w:val="Prrafodelista"/>
        <w:numPr>
          <w:ilvl w:val="0"/>
          <w:numId w:val="20"/>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 xml:space="preserve">Que </w:t>
      </w:r>
      <w:r w:rsidR="003E7B28" w:rsidRPr="00E377F3">
        <w:rPr>
          <w:rFonts w:ascii="Times New Roman" w:hAnsi="Times New Roman" w:cs="Times New Roman"/>
          <w:sz w:val="24"/>
          <w:szCs w:val="24"/>
        </w:rPr>
        <w:t>mediante Ley Nº 9354 de 4 de abril del 2016,</w:t>
      </w:r>
      <w:r w:rsidR="00C95BFC" w:rsidRPr="00E377F3">
        <w:rPr>
          <w:rFonts w:ascii="Times New Roman" w:hAnsi="Times New Roman" w:cs="Times New Roman"/>
          <w:sz w:val="24"/>
          <w:szCs w:val="24"/>
        </w:rPr>
        <w:t xml:space="preserve"> </w:t>
      </w:r>
      <w:r w:rsidR="00CE47F8" w:rsidRPr="00E377F3">
        <w:rPr>
          <w:rFonts w:ascii="Times New Roman" w:hAnsi="Times New Roman" w:cs="Times New Roman"/>
          <w:sz w:val="24"/>
          <w:szCs w:val="24"/>
        </w:rPr>
        <w:t xml:space="preserve">es </w:t>
      </w:r>
      <w:r w:rsidR="00C95BFC" w:rsidRPr="00E377F3">
        <w:rPr>
          <w:rFonts w:ascii="Times New Roman" w:hAnsi="Times New Roman" w:cs="Times New Roman"/>
          <w:sz w:val="24"/>
          <w:szCs w:val="24"/>
        </w:rPr>
        <w:t xml:space="preserve">reformado el artículo 67 de la Ley </w:t>
      </w:r>
      <w:bookmarkStart w:id="0" w:name="_Hlk89180225"/>
      <w:r w:rsidR="00C95BFC" w:rsidRPr="00E377F3">
        <w:rPr>
          <w:rFonts w:ascii="Times New Roman" w:hAnsi="Times New Roman" w:cs="Times New Roman"/>
          <w:sz w:val="24"/>
          <w:szCs w:val="24"/>
        </w:rPr>
        <w:t>General de Arrendamientos Urbanos y Suburbanos, Ley Nº7527 de 10 de julio de 1995 y sus reformas</w:t>
      </w:r>
      <w:bookmarkEnd w:id="0"/>
      <w:r w:rsidR="00C95BFC" w:rsidRPr="00E377F3">
        <w:rPr>
          <w:rFonts w:ascii="Times New Roman" w:hAnsi="Times New Roman" w:cs="Times New Roman"/>
          <w:sz w:val="24"/>
          <w:szCs w:val="24"/>
        </w:rPr>
        <w:t>.</w:t>
      </w:r>
    </w:p>
    <w:p w14:paraId="69120761" w14:textId="77777777" w:rsidR="00C95BFC" w:rsidRPr="00E377F3" w:rsidRDefault="00C95BFC" w:rsidP="00916F48">
      <w:pPr>
        <w:pStyle w:val="Prrafodelista"/>
        <w:numPr>
          <w:ilvl w:val="0"/>
          <w:numId w:val="20"/>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Que de acuerdo con la modificación introducida</w:t>
      </w:r>
      <w:r w:rsidR="00C53814" w:rsidRPr="00E377F3">
        <w:rPr>
          <w:rFonts w:ascii="Times New Roman" w:hAnsi="Times New Roman" w:cs="Times New Roman"/>
          <w:sz w:val="24"/>
          <w:szCs w:val="24"/>
        </w:rPr>
        <w:t xml:space="preserve"> a la ley de cita</w:t>
      </w:r>
      <w:r w:rsidRPr="00E377F3">
        <w:rPr>
          <w:rFonts w:ascii="Times New Roman" w:hAnsi="Times New Roman" w:cs="Times New Roman"/>
          <w:sz w:val="24"/>
          <w:szCs w:val="24"/>
        </w:rPr>
        <w:t>, el inciso b)</w:t>
      </w:r>
      <w:r w:rsidR="00C53814" w:rsidRPr="00E377F3">
        <w:rPr>
          <w:rFonts w:ascii="Times New Roman" w:hAnsi="Times New Roman" w:cs="Times New Roman"/>
          <w:sz w:val="24"/>
          <w:szCs w:val="24"/>
        </w:rPr>
        <w:t xml:space="preserve"> del artículo 67</w:t>
      </w:r>
      <w:r w:rsidRPr="00E377F3">
        <w:rPr>
          <w:rFonts w:ascii="Times New Roman" w:hAnsi="Times New Roman" w:cs="Times New Roman"/>
          <w:sz w:val="24"/>
          <w:szCs w:val="24"/>
        </w:rPr>
        <w:t xml:space="preserve"> dispone lo siguiente:</w:t>
      </w:r>
      <w:r w:rsidR="007A3696" w:rsidRPr="00E377F3">
        <w:rPr>
          <w:rFonts w:ascii="Times New Roman" w:hAnsi="Times New Roman" w:cs="Times New Roman"/>
          <w:sz w:val="24"/>
          <w:szCs w:val="24"/>
        </w:rPr>
        <w:t xml:space="preserve"> </w:t>
      </w:r>
      <w:r w:rsidRPr="00E377F3">
        <w:rPr>
          <w:rFonts w:ascii="Times New Roman" w:hAnsi="Times New Roman" w:cs="Times New Roman"/>
          <w:b/>
          <w:bCs/>
          <w:color w:val="000000"/>
          <w:sz w:val="24"/>
          <w:szCs w:val="24"/>
        </w:rPr>
        <w:t>"</w:t>
      </w:r>
      <w:r w:rsidR="00916F48" w:rsidRPr="00E377F3">
        <w:rPr>
          <w:rFonts w:ascii="Times New Roman" w:hAnsi="Times New Roman" w:cs="Times New Roman"/>
          <w:i/>
          <w:color w:val="000000"/>
          <w:sz w:val="24"/>
          <w:szCs w:val="24"/>
        </w:rPr>
        <w:t xml:space="preserve">En los arrendamientos para vivienda, el precio convenido se actualizará al final de cada año del contrato. </w:t>
      </w:r>
      <w:r w:rsidR="00916F48" w:rsidRPr="00E377F3">
        <w:rPr>
          <w:rFonts w:ascii="Times New Roman" w:eastAsia="Times New Roman" w:hAnsi="Times New Roman" w:cs="Times New Roman"/>
          <w:i/>
          <w:color w:val="000000"/>
          <w:sz w:val="24"/>
          <w:szCs w:val="24"/>
          <w:lang w:eastAsia="es-CR"/>
        </w:rPr>
        <w:t xml:space="preserve">A falta de convenio entre las partes, se estará a las siguientes reglas: </w:t>
      </w:r>
      <w:r w:rsidR="00916F48" w:rsidRPr="00E377F3">
        <w:rPr>
          <w:rFonts w:ascii="Times New Roman" w:hAnsi="Times New Roman" w:cs="Times New Roman"/>
          <w:color w:val="000000"/>
          <w:sz w:val="24"/>
          <w:szCs w:val="24"/>
        </w:rPr>
        <w:t xml:space="preserve">(…) </w:t>
      </w:r>
      <w:r w:rsidRPr="00E377F3">
        <w:rPr>
          <w:rFonts w:ascii="Times New Roman" w:hAnsi="Times New Roman" w:cs="Times New Roman"/>
          <w:b/>
          <w:bCs/>
          <w:i/>
          <w:color w:val="000000"/>
          <w:sz w:val="24"/>
          <w:szCs w:val="24"/>
        </w:rPr>
        <w:t>b) </w:t>
      </w:r>
      <w:r w:rsidRPr="00E377F3">
        <w:rPr>
          <w:rFonts w:ascii="Times New Roman" w:hAnsi="Times New Roman" w:cs="Times New Roman"/>
          <w:i/>
          <w:color w:val="000000"/>
          <w:sz w:val="24"/>
          <w:szCs w:val="24"/>
        </w:rPr>
        <w:t xml:space="preserve">Cuando la tasa de inflación acumulada de los doce meses anteriores al vencimiento de cada año del contrato sea mayor al diez por ciento (10%), el Ministerio de Vivienda y Asentamientos Humanos (Mivah), con base en consideraciones que tomen en cuenta el desarrollo </w:t>
      </w:r>
      <w:r w:rsidRPr="00E377F3">
        <w:rPr>
          <w:rFonts w:ascii="Times New Roman" w:hAnsi="Times New Roman" w:cs="Times New Roman"/>
          <w:i/>
          <w:color w:val="000000"/>
          <w:sz w:val="24"/>
          <w:szCs w:val="24"/>
        </w:rPr>
        <w:lastRenderedPageBreak/>
        <w:t>de la actividad de la construcción y el equilibrio necesario entre prestaciones del arrendador y el arrendatario, establecerá el porcentaje adicional de aumento que se aplicará al alquiler de la vivienda, siempre que no sea inferior a ese diez por ciento (10%) ni mayor que la tasa anual de inflación</w:t>
      </w:r>
      <w:r w:rsidRPr="00E377F3">
        <w:rPr>
          <w:rFonts w:ascii="Times New Roman" w:hAnsi="Times New Roman" w:cs="Times New Roman"/>
          <w:color w:val="000000"/>
          <w:sz w:val="24"/>
          <w:szCs w:val="24"/>
        </w:rPr>
        <w:t>."</w:t>
      </w:r>
    </w:p>
    <w:p w14:paraId="73B2102B" w14:textId="675E3FAD" w:rsidR="001F1E4F" w:rsidRPr="00E377F3" w:rsidRDefault="004707AA" w:rsidP="001F1E4F">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 xml:space="preserve">Que corresponde al Estado velar por el equilibrio necesario de prestaciones entre </w:t>
      </w:r>
      <w:r w:rsidR="00EA4E77" w:rsidRPr="00E377F3">
        <w:rPr>
          <w:rFonts w:ascii="Times New Roman" w:hAnsi="Times New Roman" w:cs="Times New Roman"/>
          <w:sz w:val="24"/>
          <w:szCs w:val="24"/>
        </w:rPr>
        <w:t>arrendador y el arrendatario en resguardo de los principios de seguridad jurídica, promoción de la paz social y buena fe en las relaciones existentes en materia de arrendamiento de vivienda</w:t>
      </w:r>
      <w:r w:rsidR="00D848F6" w:rsidRPr="00E377F3">
        <w:rPr>
          <w:rFonts w:ascii="Times New Roman" w:hAnsi="Times New Roman" w:cs="Times New Roman"/>
          <w:sz w:val="24"/>
          <w:szCs w:val="24"/>
        </w:rPr>
        <w:t xml:space="preserve"> como una manifestación de la política económica del Gobierno.</w:t>
      </w:r>
    </w:p>
    <w:p w14:paraId="11232C19" w14:textId="220DBD14" w:rsidR="001F1E4F" w:rsidRPr="00E377F3" w:rsidRDefault="00176271" w:rsidP="001F1E4F">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Que a tenor de la norma indicada, se encomendó al Ministerio de Vivienda y As</w:t>
      </w:r>
      <w:r w:rsidR="00C43AA5" w:rsidRPr="00E377F3">
        <w:rPr>
          <w:rFonts w:ascii="Times New Roman" w:hAnsi="Times New Roman" w:cs="Times New Roman"/>
          <w:sz w:val="24"/>
          <w:szCs w:val="24"/>
        </w:rPr>
        <w:t>entamientos Humanos, elaborar su</w:t>
      </w:r>
      <w:r w:rsidRPr="00E377F3">
        <w:rPr>
          <w:rFonts w:ascii="Times New Roman" w:hAnsi="Times New Roman" w:cs="Times New Roman"/>
          <w:sz w:val="24"/>
          <w:szCs w:val="24"/>
        </w:rPr>
        <w:t xml:space="preserve"> reglamentación</w:t>
      </w:r>
      <w:r w:rsidR="00A44651" w:rsidRPr="00E377F3">
        <w:rPr>
          <w:rFonts w:ascii="Times New Roman" w:hAnsi="Times New Roman" w:cs="Times New Roman"/>
          <w:sz w:val="24"/>
          <w:szCs w:val="24"/>
        </w:rPr>
        <w:t>;</w:t>
      </w:r>
      <w:r w:rsidRPr="00E377F3">
        <w:rPr>
          <w:rFonts w:ascii="Times New Roman" w:hAnsi="Times New Roman" w:cs="Times New Roman"/>
          <w:sz w:val="24"/>
          <w:szCs w:val="24"/>
        </w:rPr>
        <w:t xml:space="preserve"> </w:t>
      </w:r>
      <w:r w:rsidR="00FC0FCC" w:rsidRPr="00E377F3">
        <w:rPr>
          <w:rFonts w:ascii="Times New Roman" w:hAnsi="Times New Roman" w:cs="Times New Roman"/>
          <w:sz w:val="24"/>
          <w:szCs w:val="24"/>
        </w:rPr>
        <w:t>siendo esta</w:t>
      </w:r>
      <w:r w:rsidR="00C53814" w:rsidRPr="00E377F3">
        <w:rPr>
          <w:rFonts w:ascii="Times New Roman" w:hAnsi="Times New Roman" w:cs="Times New Roman"/>
          <w:sz w:val="24"/>
          <w:szCs w:val="24"/>
        </w:rPr>
        <w:t xml:space="preserve"> la finalidad y </w:t>
      </w:r>
      <w:r w:rsidR="00F36E0A" w:rsidRPr="00E377F3">
        <w:rPr>
          <w:rFonts w:ascii="Times New Roman" w:hAnsi="Times New Roman" w:cs="Times New Roman"/>
          <w:sz w:val="24"/>
          <w:szCs w:val="24"/>
        </w:rPr>
        <w:t xml:space="preserve">objeto del presente reglamento, por el cual </w:t>
      </w:r>
      <w:r w:rsidR="009E0C2C" w:rsidRPr="00E377F3">
        <w:rPr>
          <w:rFonts w:ascii="Times New Roman" w:hAnsi="Times New Roman" w:cs="Times New Roman"/>
          <w:sz w:val="24"/>
          <w:szCs w:val="24"/>
        </w:rPr>
        <w:t xml:space="preserve">se pretende brindar </w:t>
      </w:r>
      <w:r w:rsidR="00C53814" w:rsidRPr="00E377F3">
        <w:rPr>
          <w:rFonts w:ascii="Times New Roman" w:hAnsi="Times New Roman" w:cs="Times New Roman"/>
          <w:sz w:val="24"/>
          <w:szCs w:val="24"/>
        </w:rPr>
        <w:t xml:space="preserve">a la población la herramienta técnica para </w:t>
      </w:r>
      <w:r w:rsidR="004707AA" w:rsidRPr="00E377F3">
        <w:rPr>
          <w:rFonts w:ascii="Times New Roman" w:hAnsi="Times New Roman" w:cs="Times New Roman"/>
          <w:sz w:val="24"/>
          <w:szCs w:val="24"/>
        </w:rPr>
        <w:t>la implementación de</w:t>
      </w:r>
      <w:r w:rsidR="00C53814" w:rsidRPr="00E377F3">
        <w:rPr>
          <w:rFonts w:ascii="Times New Roman" w:hAnsi="Times New Roman" w:cs="Times New Roman"/>
          <w:sz w:val="24"/>
          <w:szCs w:val="24"/>
        </w:rPr>
        <w:t xml:space="preserve">l inciso b) del artículo 67 de la Ley General de Arrendamientos Urbanos y Suburbanos, Ley Nº7527 </w:t>
      </w:r>
      <w:r w:rsidR="00D47E51" w:rsidRPr="00E377F3">
        <w:rPr>
          <w:rFonts w:ascii="Times New Roman" w:hAnsi="Times New Roman" w:cs="Times New Roman"/>
          <w:sz w:val="24"/>
          <w:szCs w:val="24"/>
        </w:rPr>
        <w:t xml:space="preserve">de </w:t>
      </w:r>
      <w:r w:rsidR="00C53814" w:rsidRPr="00E377F3">
        <w:rPr>
          <w:rFonts w:ascii="Times New Roman" w:hAnsi="Times New Roman" w:cs="Times New Roman"/>
          <w:sz w:val="24"/>
          <w:szCs w:val="24"/>
        </w:rPr>
        <w:t>10 de julio de 1995 y sus reformas</w:t>
      </w:r>
      <w:r w:rsidR="001D1A9A" w:rsidRPr="00E377F3">
        <w:rPr>
          <w:rFonts w:ascii="Times New Roman" w:hAnsi="Times New Roman" w:cs="Times New Roman"/>
          <w:sz w:val="24"/>
          <w:szCs w:val="24"/>
        </w:rPr>
        <w:t xml:space="preserve">, por lo que </w:t>
      </w:r>
      <w:r w:rsidR="005C0459" w:rsidRPr="00E377F3">
        <w:rPr>
          <w:rFonts w:ascii="Times New Roman" w:hAnsi="Times New Roman" w:cs="Times New Roman"/>
          <w:sz w:val="24"/>
          <w:szCs w:val="24"/>
        </w:rPr>
        <w:t>para establecer el porcentaje adicional de aumento</w:t>
      </w:r>
      <w:r w:rsidR="00184DAB" w:rsidRPr="00E377F3">
        <w:rPr>
          <w:rFonts w:ascii="Times New Roman" w:hAnsi="Times New Roman" w:cs="Times New Roman"/>
          <w:sz w:val="24"/>
          <w:szCs w:val="24"/>
        </w:rPr>
        <w:t xml:space="preserve"> así fijado,</w:t>
      </w:r>
      <w:r w:rsidR="005C0459" w:rsidRPr="00E377F3">
        <w:rPr>
          <w:rFonts w:ascii="Times New Roman" w:hAnsi="Times New Roman" w:cs="Times New Roman"/>
          <w:sz w:val="24"/>
          <w:szCs w:val="24"/>
        </w:rPr>
        <w:t xml:space="preserve"> </w:t>
      </w:r>
      <w:r w:rsidR="001D1A9A" w:rsidRPr="00E377F3">
        <w:rPr>
          <w:rFonts w:ascii="Times New Roman" w:hAnsi="Times New Roman" w:cs="Times New Roman"/>
          <w:sz w:val="24"/>
          <w:szCs w:val="24"/>
        </w:rPr>
        <w:t xml:space="preserve">el MIVAH </w:t>
      </w:r>
      <w:r w:rsidR="005C0459" w:rsidRPr="00E377F3">
        <w:rPr>
          <w:rFonts w:ascii="Times New Roman" w:hAnsi="Times New Roman" w:cs="Times New Roman"/>
          <w:sz w:val="24"/>
          <w:szCs w:val="24"/>
        </w:rPr>
        <w:t>considera</w:t>
      </w:r>
      <w:r w:rsidR="001D1A9A" w:rsidRPr="00E377F3">
        <w:rPr>
          <w:rFonts w:ascii="Times New Roman" w:hAnsi="Times New Roman" w:cs="Times New Roman"/>
          <w:sz w:val="24"/>
          <w:szCs w:val="24"/>
        </w:rPr>
        <w:t xml:space="preserve">rá </w:t>
      </w:r>
      <w:r w:rsidR="00F36E0A" w:rsidRPr="00E377F3">
        <w:rPr>
          <w:rFonts w:ascii="Times New Roman" w:hAnsi="Times New Roman" w:cs="Times New Roman"/>
          <w:sz w:val="24"/>
          <w:szCs w:val="24"/>
        </w:rPr>
        <w:t>los datos emitidos por Instituto Nacional de Estadística y Censos según el índice de precios al consumidor</w:t>
      </w:r>
      <w:r w:rsidR="00A200AA" w:rsidRPr="00E377F3">
        <w:rPr>
          <w:rFonts w:ascii="Times New Roman" w:hAnsi="Times New Roman" w:cs="Times New Roman"/>
          <w:sz w:val="24"/>
          <w:szCs w:val="24"/>
        </w:rPr>
        <w:t xml:space="preserve"> acumulado</w:t>
      </w:r>
      <w:r w:rsidR="001D2175" w:rsidRPr="00E377F3">
        <w:rPr>
          <w:rFonts w:ascii="Times New Roman" w:hAnsi="Times New Roman" w:cs="Times New Roman"/>
          <w:sz w:val="24"/>
          <w:szCs w:val="24"/>
        </w:rPr>
        <w:t>,</w:t>
      </w:r>
      <w:r w:rsidR="001F1E4F" w:rsidRPr="00E377F3">
        <w:rPr>
          <w:rFonts w:ascii="Times New Roman" w:hAnsi="Times New Roman" w:cs="Times New Roman"/>
          <w:sz w:val="24"/>
          <w:szCs w:val="24"/>
        </w:rPr>
        <w:t xml:space="preserve"> al momento en que se verifique que el aumento en </w:t>
      </w:r>
      <w:r w:rsidR="001F1E4F" w:rsidRPr="00E377F3">
        <w:rPr>
          <w:rFonts w:ascii="Times New Roman" w:hAnsi="Times New Roman" w:cs="Times New Roman"/>
          <w:color w:val="000000"/>
          <w:sz w:val="24"/>
          <w:szCs w:val="24"/>
        </w:rPr>
        <w:t>la tasa de inflación acumulada de los doce meses anteriores al vencimiento de cada año del contrato es mayor al diez por ciento (10%), estableciéndose a partir de esa inferencia el porcentaje adicional</w:t>
      </w:r>
      <w:r w:rsidR="001D2175" w:rsidRPr="00E377F3">
        <w:rPr>
          <w:rFonts w:ascii="Times New Roman" w:hAnsi="Times New Roman" w:cs="Times New Roman"/>
          <w:color w:val="000000"/>
          <w:sz w:val="24"/>
          <w:szCs w:val="24"/>
        </w:rPr>
        <w:t xml:space="preserve"> </w:t>
      </w:r>
      <w:r w:rsidR="001F1E4F" w:rsidRPr="00E377F3">
        <w:rPr>
          <w:rFonts w:ascii="Times New Roman" w:hAnsi="Times New Roman" w:cs="Times New Roman"/>
          <w:color w:val="000000"/>
          <w:sz w:val="24"/>
          <w:szCs w:val="24"/>
        </w:rPr>
        <w:t xml:space="preserve"> así requerido</w:t>
      </w:r>
      <w:r w:rsidR="001F1E4F" w:rsidRPr="00E377F3">
        <w:rPr>
          <w:rFonts w:ascii="Times New Roman" w:hAnsi="Times New Roman" w:cs="Times New Roman"/>
          <w:sz w:val="24"/>
          <w:szCs w:val="24"/>
        </w:rPr>
        <w:t>.</w:t>
      </w:r>
    </w:p>
    <w:p w14:paraId="18611E47" w14:textId="645F1549" w:rsidR="000762B3" w:rsidRPr="00E377F3" w:rsidRDefault="003D45A0" w:rsidP="000762B3">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 xml:space="preserve">Que de conformidad con </w:t>
      </w:r>
      <w:r w:rsidR="003A27F0" w:rsidRPr="00E377F3">
        <w:rPr>
          <w:rFonts w:ascii="Times New Roman" w:hAnsi="Times New Roman" w:cs="Times New Roman"/>
          <w:sz w:val="24"/>
          <w:szCs w:val="24"/>
        </w:rPr>
        <w:t>los</w:t>
      </w:r>
      <w:r w:rsidRPr="00E377F3">
        <w:rPr>
          <w:rFonts w:ascii="Times New Roman" w:hAnsi="Times New Roman" w:cs="Times New Roman"/>
          <w:sz w:val="24"/>
          <w:szCs w:val="24"/>
        </w:rPr>
        <w:t xml:space="preserve"> artículo</w:t>
      </w:r>
      <w:r w:rsidR="003A27F0" w:rsidRPr="00E377F3">
        <w:rPr>
          <w:rFonts w:ascii="Times New Roman" w:hAnsi="Times New Roman" w:cs="Times New Roman"/>
          <w:sz w:val="24"/>
          <w:szCs w:val="24"/>
        </w:rPr>
        <w:t>s</w:t>
      </w:r>
      <w:r w:rsidRPr="00E377F3">
        <w:rPr>
          <w:rFonts w:ascii="Times New Roman" w:hAnsi="Times New Roman" w:cs="Times New Roman"/>
          <w:sz w:val="24"/>
          <w:szCs w:val="24"/>
        </w:rPr>
        <w:t xml:space="preserve"> </w:t>
      </w:r>
      <w:r w:rsidR="003A27F0" w:rsidRPr="00E377F3">
        <w:rPr>
          <w:rFonts w:ascii="Times New Roman" w:hAnsi="Times New Roman" w:cs="Times New Roman"/>
          <w:sz w:val="24"/>
          <w:szCs w:val="24"/>
        </w:rPr>
        <w:t xml:space="preserve">16 inciso 1) y </w:t>
      </w:r>
      <w:r w:rsidRPr="00E377F3">
        <w:rPr>
          <w:rFonts w:ascii="Times New Roman" w:hAnsi="Times New Roman" w:cs="Times New Roman"/>
          <w:sz w:val="24"/>
          <w:szCs w:val="24"/>
        </w:rPr>
        <w:t>158 inciso 4</w:t>
      </w:r>
      <w:r w:rsidR="003A27F0" w:rsidRPr="00E377F3">
        <w:rPr>
          <w:rFonts w:ascii="Times New Roman" w:hAnsi="Times New Roman" w:cs="Times New Roman"/>
          <w:sz w:val="24"/>
          <w:szCs w:val="24"/>
        </w:rPr>
        <w:t>)</w:t>
      </w:r>
      <w:r w:rsidRPr="00E377F3">
        <w:rPr>
          <w:rFonts w:ascii="Times New Roman" w:hAnsi="Times New Roman" w:cs="Times New Roman"/>
          <w:sz w:val="24"/>
          <w:szCs w:val="24"/>
        </w:rPr>
        <w:t xml:space="preserve"> de la Ley General de la Administración Pública, Ley N°6227 de 2 de mayo de 1978 y sus reform</w:t>
      </w:r>
      <w:r w:rsidR="003A27F0" w:rsidRPr="00E377F3">
        <w:rPr>
          <w:rFonts w:ascii="Times New Roman" w:hAnsi="Times New Roman" w:cs="Times New Roman"/>
          <w:sz w:val="24"/>
          <w:szCs w:val="24"/>
        </w:rPr>
        <w:t xml:space="preserve">as, se dispone que: </w:t>
      </w:r>
      <w:r w:rsidR="003A27F0" w:rsidRPr="00E377F3">
        <w:rPr>
          <w:rFonts w:ascii="Times New Roman" w:hAnsi="Times New Roman" w:cs="Times New Roman"/>
          <w:color w:val="000000"/>
          <w:sz w:val="24"/>
          <w:szCs w:val="24"/>
        </w:rPr>
        <w:t>“</w:t>
      </w:r>
      <w:r w:rsidR="003A27F0" w:rsidRPr="00E377F3">
        <w:rPr>
          <w:rFonts w:ascii="Times New Roman" w:hAnsi="Times New Roman" w:cs="Times New Roman"/>
          <w:i/>
          <w:iCs/>
          <w:color w:val="000000"/>
          <w:sz w:val="24"/>
          <w:szCs w:val="24"/>
        </w:rPr>
        <w:t xml:space="preserve">En ningún caso podrán dictarse actos contrarios a reglas unívocas de </w:t>
      </w:r>
      <w:r w:rsidR="003A27F0" w:rsidRPr="00E377F3">
        <w:rPr>
          <w:rFonts w:ascii="Times New Roman" w:hAnsi="Times New Roman" w:cs="Times New Roman"/>
          <w:i/>
          <w:iCs/>
          <w:color w:val="000000"/>
          <w:sz w:val="24"/>
          <w:szCs w:val="24"/>
        </w:rPr>
        <w:lastRenderedPageBreak/>
        <w:t>la ciencia o de la técnica, o a principios elementales de justicia, lógica o conveniencia</w:t>
      </w:r>
      <w:r w:rsidR="003A27F0" w:rsidRPr="00E377F3">
        <w:rPr>
          <w:rFonts w:ascii="Times New Roman" w:hAnsi="Times New Roman" w:cs="Times New Roman"/>
          <w:color w:val="000000"/>
          <w:sz w:val="24"/>
          <w:szCs w:val="24"/>
        </w:rPr>
        <w:t xml:space="preserve">.”, y que </w:t>
      </w:r>
      <w:r w:rsidR="003A27F0" w:rsidRPr="00E377F3">
        <w:rPr>
          <w:rFonts w:ascii="Verdana" w:hAnsi="Verdana"/>
          <w:color w:val="000000"/>
          <w:sz w:val="24"/>
          <w:szCs w:val="24"/>
        </w:rPr>
        <w:t>“</w:t>
      </w:r>
      <w:r w:rsidRPr="00E377F3">
        <w:rPr>
          <w:rFonts w:ascii="Times New Roman" w:hAnsi="Times New Roman" w:cs="Times New Roman"/>
          <w:i/>
          <w:iCs/>
          <w:color w:val="000000"/>
          <w:sz w:val="24"/>
          <w:szCs w:val="24"/>
        </w:rPr>
        <w:t>Se entenderán incorporadas al ordenamiento, para este efecto, las reglas técnicas y científicas de sentido unívoco y aplicación exacta, en las circunstancias del caso</w:t>
      </w:r>
      <w:r w:rsidRPr="00E377F3">
        <w:rPr>
          <w:rFonts w:ascii="Times New Roman" w:hAnsi="Times New Roman" w:cs="Times New Roman"/>
          <w:color w:val="000000"/>
          <w:sz w:val="24"/>
          <w:szCs w:val="24"/>
        </w:rPr>
        <w:t>.</w:t>
      </w:r>
      <w:r w:rsidR="003A27F0" w:rsidRPr="00E377F3">
        <w:rPr>
          <w:rFonts w:ascii="Times New Roman" w:hAnsi="Times New Roman" w:cs="Times New Roman"/>
          <w:color w:val="000000"/>
          <w:sz w:val="24"/>
          <w:szCs w:val="24"/>
        </w:rPr>
        <w:t xml:space="preserve">”, </w:t>
      </w:r>
      <w:r w:rsidR="000762B3" w:rsidRPr="00E377F3">
        <w:rPr>
          <w:rFonts w:ascii="Times New Roman" w:hAnsi="Times New Roman" w:cs="Times New Roman"/>
          <w:color w:val="000000"/>
          <w:sz w:val="24"/>
          <w:szCs w:val="24"/>
        </w:rPr>
        <w:t>por consiguiente</w:t>
      </w:r>
      <w:r w:rsidR="006952C7" w:rsidRPr="00E377F3">
        <w:rPr>
          <w:rFonts w:ascii="Times New Roman" w:hAnsi="Times New Roman" w:cs="Times New Roman"/>
          <w:color w:val="000000"/>
          <w:sz w:val="24"/>
          <w:szCs w:val="24"/>
        </w:rPr>
        <w:t>;</w:t>
      </w:r>
      <w:r w:rsidR="000762B3" w:rsidRPr="00E377F3">
        <w:rPr>
          <w:rFonts w:ascii="Times New Roman" w:hAnsi="Times New Roman" w:cs="Times New Roman"/>
          <w:color w:val="000000"/>
          <w:sz w:val="24"/>
          <w:szCs w:val="24"/>
        </w:rPr>
        <w:t xml:space="preserve"> </w:t>
      </w:r>
      <w:r w:rsidR="003A27F0" w:rsidRPr="00E377F3">
        <w:rPr>
          <w:rFonts w:ascii="Times New Roman" w:hAnsi="Times New Roman" w:cs="Times New Roman"/>
          <w:color w:val="000000"/>
          <w:sz w:val="24"/>
          <w:szCs w:val="24"/>
        </w:rPr>
        <w:t>en el caso concreto</w:t>
      </w:r>
      <w:r w:rsidR="000762B3" w:rsidRPr="00E377F3">
        <w:rPr>
          <w:rFonts w:ascii="Times New Roman" w:hAnsi="Times New Roman" w:cs="Times New Roman"/>
          <w:color w:val="000000"/>
          <w:sz w:val="24"/>
          <w:szCs w:val="24"/>
        </w:rPr>
        <w:t>,</w:t>
      </w:r>
      <w:r w:rsidR="003A27F0" w:rsidRPr="00E377F3">
        <w:rPr>
          <w:rFonts w:ascii="Times New Roman" w:hAnsi="Times New Roman" w:cs="Times New Roman"/>
          <w:color w:val="000000"/>
          <w:sz w:val="24"/>
          <w:szCs w:val="24"/>
        </w:rPr>
        <w:t xml:space="preserve"> la fijación que se aplicará al porcentaje de alquiler de vivienda </w:t>
      </w:r>
      <w:r w:rsidR="000762B3" w:rsidRPr="00E377F3">
        <w:rPr>
          <w:rFonts w:ascii="Times New Roman" w:hAnsi="Times New Roman" w:cs="Times New Roman"/>
          <w:color w:val="000000"/>
          <w:sz w:val="24"/>
          <w:szCs w:val="24"/>
        </w:rPr>
        <w:t xml:space="preserve">en el supuesto del </w:t>
      </w:r>
      <w:r w:rsidR="000762B3" w:rsidRPr="00E377F3">
        <w:rPr>
          <w:rFonts w:ascii="Times New Roman" w:hAnsi="Times New Roman" w:cs="Times New Roman"/>
          <w:sz w:val="24"/>
          <w:szCs w:val="24"/>
        </w:rPr>
        <w:t>artículo 67 inciso b) de la Ley General de Arrendamientos Urbanos y Suburbanos, Ley Nº7527 de 10 de julio de 1995 y sus reformas</w:t>
      </w:r>
      <w:r w:rsidR="00097CD4" w:rsidRPr="00E377F3">
        <w:rPr>
          <w:rFonts w:ascii="Times New Roman" w:hAnsi="Times New Roman" w:cs="Times New Roman"/>
          <w:sz w:val="24"/>
          <w:szCs w:val="24"/>
        </w:rPr>
        <w:t>,</w:t>
      </w:r>
      <w:r w:rsidR="000762B3" w:rsidRPr="00E377F3">
        <w:rPr>
          <w:rFonts w:ascii="Times New Roman" w:hAnsi="Times New Roman" w:cs="Times New Roman"/>
          <w:sz w:val="24"/>
          <w:szCs w:val="24"/>
        </w:rPr>
        <w:t xml:space="preserve"> está supeditada a la razonabilidad técnica respectiva, cuyos insumos derivan en gran parte de la fijación del Índice de Precios al Consumidor y también del Índice de Precios de Vivienda de Interés Social</w:t>
      </w:r>
      <w:r w:rsidR="00097CD4" w:rsidRPr="00E377F3">
        <w:rPr>
          <w:rFonts w:ascii="Times New Roman" w:hAnsi="Times New Roman" w:cs="Times New Roman"/>
          <w:sz w:val="24"/>
          <w:szCs w:val="24"/>
        </w:rPr>
        <w:t>,</w:t>
      </w:r>
      <w:r w:rsidR="000762B3" w:rsidRPr="00E377F3">
        <w:rPr>
          <w:rFonts w:ascii="Times New Roman" w:hAnsi="Times New Roman" w:cs="Times New Roman"/>
          <w:sz w:val="24"/>
          <w:szCs w:val="24"/>
        </w:rPr>
        <w:t xml:space="preserve"> emitidos por el Instituto Nacional de Estadística y Censos (INEC).</w:t>
      </w:r>
    </w:p>
    <w:p w14:paraId="6D3848B5" w14:textId="1103FA09" w:rsidR="00B930AE" w:rsidRPr="00E377F3" w:rsidRDefault="00B930AE" w:rsidP="00B930AE">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Que de conformidad con el artículo 1 inciso a) y artículo 4 incisos b) y c) de la Ley Orgánica del Ministerio de Economía Industria y Comercio, Ley N° 6054 de 14 de junio de 1977 y sus reformas, es competencia del MEIC “</w:t>
      </w:r>
      <w:r w:rsidRPr="00E377F3">
        <w:rPr>
          <w:rFonts w:ascii="Times New Roman" w:hAnsi="Times New Roman" w:cs="Times New Roman"/>
          <w:i/>
          <w:iCs/>
          <w:color w:val="000000"/>
          <w:sz w:val="24"/>
          <w:szCs w:val="24"/>
        </w:rPr>
        <w:t>Participar en la formulación de la política económica del Gobierno y en la planificación nacional, en los campos de su competencia</w:t>
      </w:r>
      <w:r w:rsidRPr="00E377F3">
        <w:rPr>
          <w:rFonts w:ascii="Times New Roman" w:hAnsi="Times New Roman" w:cs="Times New Roman"/>
          <w:color w:val="000000"/>
          <w:sz w:val="24"/>
          <w:szCs w:val="24"/>
        </w:rPr>
        <w:t>”, estando entre sus funciones: “</w:t>
      </w:r>
      <w:r w:rsidRPr="00E377F3">
        <w:rPr>
          <w:rFonts w:ascii="Times New Roman" w:hAnsi="Times New Roman" w:cs="Times New Roman"/>
          <w:i/>
          <w:iCs/>
          <w:color w:val="000000"/>
          <w:sz w:val="24"/>
          <w:szCs w:val="24"/>
        </w:rPr>
        <w:t>Formular, dirigir y coordinar la política de precios, pesas y medidas, y de abastecimiento de mercado en el comercio interno</w:t>
      </w:r>
      <w:r w:rsidRPr="00E377F3">
        <w:rPr>
          <w:rFonts w:ascii="Times New Roman" w:hAnsi="Times New Roman" w:cs="Times New Roman"/>
          <w:color w:val="000000"/>
          <w:sz w:val="24"/>
          <w:szCs w:val="24"/>
        </w:rPr>
        <w:t>” y “</w:t>
      </w:r>
      <w:r w:rsidRPr="00E377F3">
        <w:rPr>
          <w:rFonts w:ascii="Times New Roman" w:hAnsi="Times New Roman" w:cs="Times New Roman"/>
          <w:i/>
          <w:iCs/>
          <w:color w:val="000000"/>
          <w:sz w:val="24"/>
          <w:szCs w:val="24"/>
        </w:rPr>
        <w:t>Promover en el país el uso de la normalización y participar activamente en su desarrollo.</w:t>
      </w:r>
      <w:r w:rsidRPr="00E377F3">
        <w:rPr>
          <w:rFonts w:ascii="Times New Roman" w:hAnsi="Times New Roman" w:cs="Times New Roman"/>
          <w:color w:val="000000"/>
          <w:sz w:val="24"/>
          <w:szCs w:val="24"/>
        </w:rPr>
        <w:t>”</w:t>
      </w:r>
    </w:p>
    <w:p w14:paraId="0D5F72E8" w14:textId="77777777" w:rsidR="001F1E4F" w:rsidRPr="00E377F3" w:rsidRDefault="00D47E51" w:rsidP="001F1E4F">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 xml:space="preserve">Que en cuanto al procedimiento establecido en el Reglamento de la Ley de Protección al Ciudadano de Exceso de Requisitos y Trámites Administrativos, Decreto Ejecutivo </w:t>
      </w:r>
      <w:r w:rsidR="00F15098" w:rsidRPr="00E377F3">
        <w:rPr>
          <w:rFonts w:ascii="Times New Roman" w:hAnsi="Times New Roman" w:cs="Times New Roman"/>
          <w:sz w:val="24"/>
          <w:szCs w:val="24"/>
        </w:rPr>
        <w:t xml:space="preserve">Nº </w:t>
      </w:r>
      <w:r w:rsidRPr="00E377F3">
        <w:rPr>
          <w:rFonts w:ascii="Times New Roman" w:hAnsi="Times New Roman" w:cs="Times New Roman"/>
          <w:sz w:val="24"/>
          <w:szCs w:val="24"/>
        </w:rPr>
        <w:t xml:space="preserve">37045-MP-MEIC de 22 de febrero de 2012 y sus reformas, se considera </w:t>
      </w:r>
      <w:r w:rsidR="006E6202" w:rsidRPr="00E377F3">
        <w:rPr>
          <w:rFonts w:ascii="Times New Roman" w:hAnsi="Times New Roman" w:cs="Times New Roman"/>
          <w:sz w:val="24"/>
          <w:szCs w:val="24"/>
        </w:rPr>
        <w:t>que el presente reglamento</w:t>
      </w:r>
      <w:r w:rsidRPr="00E377F3">
        <w:rPr>
          <w:rFonts w:ascii="Times New Roman" w:hAnsi="Times New Roman" w:cs="Times New Roman"/>
          <w:sz w:val="24"/>
          <w:szCs w:val="24"/>
        </w:rPr>
        <w:t xml:space="preserve"> no requiere del proceso de aprobación de mejora regulatoria, debido a que </w:t>
      </w:r>
      <w:r w:rsidR="00F15098" w:rsidRPr="00E377F3">
        <w:rPr>
          <w:rFonts w:ascii="Times New Roman" w:hAnsi="Times New Roman" w:cs="Times New Roman"/>
          <w:sz w:val="24"/>
          <w:szCs w:val="24"/>
        </w:rPr>
        <w:t>su</w:t>
      </w:r>
      <w:r w:rsidRPr="00E377F3">
        <w:rPr>
          <w:rFonts w:ascii="Times New Roman" w:hAnsi="Times New Roman" w:cs="Times New Roman"/>
          <w:sz w:val="24"/>
          <w:szCs w:val="24"/>
        </w:rPr>
        <w:t xml:space="preserve"> objeto no es adicionar o modificar trámites ni requisitos a los arrendadores y arrendatarios, sino la incorporación de una fórmula que permita velar </w:t>
      </w:r>
      <w:r w:rsidRPr="00E377F3">
        <w:rPr>
          <w:rFonts w:ascii="Times New Roman" w:hAnsi="Times New Roman" w:cs="Times New Roman"/>
          <w:sz w:val="24"/>
          <w:szCs w:val="24"/>
        </w:rPr>
        <w:lastRenderedPageBreak/>
        <w:t>por el equilibrio de sus prestaciones cuando ocurra el supuesto contemplado en el inciso b) del artículo 67 de la Ley Nº 7527 supra citada</w:t>
      </w:r>
      <w:r w:rsidR="00F15098" w:rsidRPr="00E377F3">
        <w:rPr>
          <w:rFonts w:ascii="Times New Roman" w:hAnsi="Times New Roman" w:cs="Times New Roman"/>
          <w:sz w:val="24"/>
          <w:szCs w:val="24"/>
        </w:rPr>
        <w:t>,</w:t>
      </w:r>
      <w:r w:rsidRPr="00E377F3">
        <w:rPr>
          <w:rFonts w:ascii="Times New Roman" w:hAnsi="Times New Roman" w:cs="Times New Roman"/>
          <w:sz w:val="24"/>
          <w:szCs w:val="24"/>
        </w:rPr>
        <w:t xml:space="preserve"> a fin de garantizar el debido respeto de los principios de seguridad</w:t>
      </w:r>
      <w:r w:rsidR="00EA4E77" w:rsidRPr="00E377F3">
        <w:rPr>
          <w:rFonts w:ascii="Times New Roman" w:hAnsi="Times New Roman" w:cs="Times New Roman"/>
          <w:sz w:val="24"/>
          <w:szCs w:val="24"/>
        </w:rPr>
        <w:t xml:space="preserve"> jurídica, la paz social </w:t>
      </w:r>
      <w:r w:rsidRPr="00E377F3">
        <w:rPr>
          <w:rFonts w:ascii="Times New Roman" w:hAnsi="Times New Roman" w:cs="Times New Roman"/>
          <w:sz w:val="24"/>
          <w:szCs w:val="24"/>
        </w:rPr>
        <w:t xml:space="preserve">y buena fe entre </w:t>
      </w:r>
      <w:r w:rsidR="00F15098" w:rsidRPr="00E377F3">
        <w:rPr>
          <w:rFonts w:ascii="Times New Roman" w:hAnsi="Times New Roman" w:cs="Times New Roman"/>
          <w:sz w:val="24"/>
          <w:szCs w:val="24"/>
        </w:rPr>
        <w:t xml:space="preserve">las </w:t>
      </w:r>
      <w:r w:rsidRPr="00E377F3">
        <w:rPr>
          <w:rFonts w:ascii="Times New Roman" w:hAnsi="Times New Roman" w:cs="Times New Roman"/>
          <w:sz w:val="24"/>
          <w:szCs w:val="24"/>
        </w:rPr>
        <w:t>partes contractuales.</w:t>
      </w:r>
    </w:p>
    <w:p w14:paraId="21C7EE1F" w14:textId="5E338508" w:rsidR="001F1E4F" w:rsidRPr="00E377F3" w:rsidRDefault="00390958" w:rsidP="001F1E4F">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 xml:space="preserve">Que </w:t>
      </w:r>
      <w:r w:rsidR="00FF1136" w:rsidRPr="00E377F3">
        <w:rPr>
          <w:rFonts w:ascii="Times New Roman" w:hAnsi="Times New Roman" w:cs="Times New Roman"/>
          <w:sz w:val="24"/>
          <w:szCs w:val="24"/>
        </w:rPr>
        <w:t xml:space="preserve">en atención a lo dispuesto en el artículo 361 de la Ley General de la Administración Pública, Ley Nº6227 de 2 de </w:t>
      </w:r>
      <w:r w:rsidRPr="00E377F3">
        <w:rPr>
          <w:rFonts w:ascii="Times New Roman" w:hAnsi="Times New Roman" w:cs="Times New Roman"/>
          <w:sz w:val="24"/>
          <w:szCs w:val="24"/>
        </w:rPr>
        <w:t>m</w:t>
      </w:r>
      <w:r w:rsidR="00FF1136" w:rsidRPr="00E377F3">
        <w:rPr>
          <w:rFonts w:ascii="Times New Roman" w:hAnsi="Times New Roman" w:cs="Times New Roman"/>
          <w:sz w:val="24"/>
          <w:szCs w:val="24"/>
        </w:rPr>
        <w:t xml:space="preserve">ayo de 1978 y sus reformas, se publicó el </w:t>
      </w:r>
      <w:r w:rsidR="00DC2DE1" w:rsidRPr="00E377F3">
        <w:rPr>
          <w:rFonts w:ascii="Times New Roman" w:hAnsi="Times New Roman" w:cs="Times New Roman"/>
          <w:sz w:val="24"/>
          <w:szCs w:val="24"/>
        </w:rPr>
        <w:t>ante</w:t>
      </w:r>
      <w:r w:rsidR="00FF1136" w:rsidRPr="00E377F3">
        <w:rPr>
          <w:rFonts w:ascii="Times New Roman" w:hAnsi="Times New Roman" w:cs="Times New Roman"/>
          <w:sz w:val="24"/>
          <w:szCs w:val="24"/>
        </w:rPr>
        <w:t xml:space="preserve">proyecto de reglamento en el sitio web </w:t>
      </w:r>
      <w:hyperlink r:id="rId9" w:history="1">
        <w:r w:rsidR="00ED4436" w:rsidRPr="00E377F3">
          <w:rPr>
            <w:rStyle w:val="Hipervnculo"/>
            <w:rFonts w:ascii="Times New Roman" w:hAnsi="Times New Roman" w:cs="Times New Roman"/>
            <w:sz w:val="24"/>
            <w:szCs w:val="24"/>
          </w:rPr>
          <w:t>http://www.mivah.go.cr</w:t>
        </w:r>
      </w:hyperlink>
      <w:r w:rsidR="00ED4436" w:rsidRPr="00E377F3">
        <w:rPr>
          <w:rFonts w:ascii="Times New Roman" w:hAnsi="Times New Roman" w:cs="Times New Roman"/>
          <w:sz w:val="24"/>
          <w:szCs w:val="24"/>
        </w:rPr>
        <w:t xml:space="preserve"> </w:t>
      </w:r>
      <w:r w:rsidR="00FF1136" w:rsidRPr="00E377F3">
        <w:rPr>
          <w:rFonts w:ascii="Times New Roman" w:hAnsi="Times New Roman" w:cs="Times New Roman"/>
          <w:sz w:val="24"/>
          <w:szCs w:val="24"/>
        </w:rPr>
        <w:t xml:space="preserve">a efecto de que las entidades representativas de carácter general o corporativo </w:t>
      </w:r>
      <w:r w:rsidR="00DC2DE1" w:rsidRPr="00E377F3">
        <w:rPr>
          <w:rFonts w:ascii="Times New Roman" w:hAnsi="Times New Roman" w:cs="Times New Roman"/>
          <w:sz w:val="24"/>
          <w:szCs w:val="24"/>
        </w:rPr>
        <w:t>tuvieran conocimiento de éste y pudieran presentar sus observaciones en el plazo de diez días hábiles siguientes a la publicación del primer aviso en el Diario Oficial La Gacet</w:t>
      </w:r>
      <w:r w:rsidR="001F1E4F" w:rsidRPr="00E377F3">
        <w:rPr>
          <w:rFonts w:ascii="Times New Roman" w:hAnsi="Times New Roman" w:cs="Times New Roman"/>
          <w:sz w:val="24"/>
          <w:szCs w:val="24"/>
        </w:rPr>
        <w:t>a.</w:t>
      </w:r>
    </w:p>
    <w:p w14:paraId="0E06EBD0" w14:textId="77777777" w:rsidR="00FF1136" w:rsidRPr="00E377F3" w:rsidRDefault="00B8262E" w:rsidP="001F1E4F">
      <w:pPr>
        <w:pStyle w:val="Prrafodelista"/>
        <w:numPr>
          <w:ilvl w:val="0"/>
          <w:numId w:val="20"/>
        </w:numPr>
        <w:spacing w:line="480" w:lineRule="auto"/>
        <w:ind w:left="714" w:hanging="357"/>
        <w:jc w:val="both"/>
        <w:rPr>
          <w:rFonts w:ascii="Times New Roman" w:hAnsi="Times New Roman" w:cs="Times New Roman"/>
          <w:sz w:val="24"/>
          <w:szCs w:val="24"/>
        </w:rPr>
      </w:pPr>
      <w:r w:rsidRPr="00E377F3">
        <w:rPr>
          <w:rFonts w:ascii="Times New Roman" w:hAnsi="Times New Roman" w:cs="Times New Roman"/>
          <w:sz w:val="24"/>
          <w:szCs w:val="24"/>
        </w:rPr>
        <w:t>Que los avisos fueron publicados en La Gaceta N°</w:t>
      </w:r>
      <w:r w:rsidR="00E049A3" w:rsidRPr="00E377F3">
        <w:rPr>
          <w:rFonts w:ascii="Times New Roman" w:hAnsi="Times New Roman" w:cs="Times New Roman"/>
          <w:sz w:val="24"/>
          <w:szCs w:val="24"/>
        </w:rPr>
        <w:t>____</w:t>
      </w:r>
      <w:r w:rsidRPr="00E377F3">
        <w:rPr>
          <w:rFonts w:ascii="Times New Roman" w:hAnsi="Times New Roman" w:cs="Times New Roman"/>
          <w:sz w:val="24"/>
          <w:szCs w:val="24"/>
        </w:rPr>
        <w:t xml:space="preserve"> del </w:t>
      </w:r>
      <w:r w:rsidR="00E049A3" w:rsidRPr="00E377F3">
        <w:rPr>
          <w:rFonts w:ascii="Times New Roman" w:hAnsi="Times New Roman" w:cs="Times New Roman"/>
          <w:sz w:val="24"/>
          <w:szCs w:val="24"/>
        </w:rPr>
        <w:t>___</w:t>
      </w:r>
      <w:r w:rsidRPr="00E377F3">
        <w:rPr>
          <w:rFonts w:ascii="Times New Roman" w:hAnsi="Times New Roman" w:cs="Times New Roman"/>
          <w:sz w:val="24"/>
          <w:szCs w:val="24"/>
        </w:rPr>
        <w:t xml:space="preserve"> de </w:t>
      </w:r>
      <w:r w:rsidR="00E049A3" w:rsidRPr="00E377F3">
        <w:rPr>
          <w:rFonts w:ascii="Times New Roman" w:hAnsi="Times New Roman" w:cs="Times New Roman"/>
          <w:sz w:val="24"/>
          <w:szCs w:val="24"/>
        </w:rPr>
        <w:t>_____</w:t>
      </w:r>
      <w:r w:rsidRPr="00E377F3">
        <w:rPr>
          <w:rFonts w:ascii="Times New Roman" w:hAnsi="Times New Roman" w:cs="Times New Roman"/>
          <w:sz w:val="24"/>
          <w:szCs w:val="24"/>
        </w:rPr>
        <w:t xml:space="preserve"> de 202</w:t>
      </w:r>
      <w:r w:rsidR="00E049A3" w:rsidRPr="00E377F3">
        <w:rPr>
          <w:rFonts w:ascii="Times New Roman" w:hAnsi="Times New Roman" w:cs="Times New Roman"/>
          <w:sz w:val="24"/>
          <w:szCs w:val="24"/>
        </w:rPr>
        <w:t>__</w:t>
      </w:r>
      <w:r w:rsidRPr="00E377F3">
        <w:rPr>
          <w:rFonts w:ascii="Times New Roman" w:hAnsi="Times New Roman" w:cs="Times New Roman"/>
          <w:sz w:val="24"/>
          <w:szCs w:val="24"/>
        </w:rPr>
        <w:t xml:space="preserve"> y en La Gaceta N___ de ___ 202___, respectivamente. Por lo que a la fecha de emisión de este decreto se recibieron y ate</w:t>
      </w:r>
      <w:r w:rsidR="00E049A3" w:rsidRPr="00E377F3">
        <w:rPr>
          <w:rFonts w:ascii="Times New Roman" w:hAnsi="Times New Roman" w:cs="Times New Roman"/>
          <w:sz w:val="24"/>
          <w:szCs w:val="24"/>
        </w:rPr>
        <w:t>ndieron las observaciones al anteproyecto</w:t>
      </w:r>
      <w:r w:rsidRPr="00E377F3">
        <w:rPr>
          <w:rFonts w:ascii="Times New Roman" w:hAnsi="Times New Roman" w:cs="Times New Roman"/>
          <w:sz w:val="24"/>
          <w:szCs w:val="24"/>
        </w:rPr>
        <w:t xml:space="preserve"> indicado, siendo</w:t>
      </w:r>
      <w:r w:rsidR="00E049A3" w:rsidRPr="00E377F3">
        <w:rPr>
          <w:rFonts w:ascii="Times New Roman" w:hAnsi="Times New Roman" w:cs="Times New Roman"/>
          <w:sz w:val="24"/>
          <w:szCs w:val="24"/>
        </w:rPr>
        <w:t xml:space="preserve"> </w:t>
      </w:r>
      <w:r w:rsidRPr="00E377F3">
        <w:rPr>
          <w:rFonts w:ascii="Times New Roman" w:hAnsi="Times New Roman" w:cs="Times New Roman"/>
          <w:sz w:val="24"/>
          <w:szCs w:val="24"/>
        </w:rPr>
        <w:t xml:space="preserve">que el presente </w:t>
      </w:r>
      <w:r w:rsidR="00E049A3" w:rsidRPr="00E377F3">
        <w:rPr>
          <w:rFonts w:ascii="Times New Roman" w:hAnsi="Times New Roman" w:cs="Times New Roman"/>
          <w:sz w:val="24"/>
          <w:szCs w:val="24"/>
        </w:rPr>
        <w:t xml:space="preserve">proyecto </w:t>
      </w:r>
      <w:r w:rsidRPr="00E377F3">
        <w:rPr>
          <w:rFonts w:ascii="Times New Roman" w:hAnsi="Times New Roman" w:cs="Times New Roman"/>
          <w:sz w:val="24"/>
          <w:szCs w:val="24"/>
        </w:rPr>
        <w:t>corresponde a la versión final aprobada.</w:t>
      </w:r>
    </w:p>
    <w:p w14:paraId="3A914827" w14:textId="77777777" w:rsidR="00151FB0" w:rsidRPr="00E377F3" w:rsidRDefault="00E049A3" w:rsidP="0074176F">
      <w:pPr>
        <w:rPr>
          <w:rFonts w:ascii="Times New Roman" w:hAnsi="Times New Roman" w:cs="Times New Roman"/>
          <w:b/>
          <w:sz w:val="24"/>
          <w:szCs w:val="24"/>
        </w:rPr>
      </w:pPr>
      <w:r w:rsidRPr="00E377F3">
        <w:rPr>
          <w:rFonts w:ascii="Times New Roman" w:hAnsi="Times New Roman" w:cs="Times New Roman"/>
          <w:b/>
          <w:sz w:val="24"/>
          <w:szCs w:val="24"/>
        </w:rPr>
        <w:t>Por Tanto</w:t>
      </w:r>
      <w:r w:rsidR="00151FB0" w:rsidRPr="00E377F3">
        <w:rPr>
          <w:rFonts w:ascii="Times New Roman" w:hAnsi="Times New Roman" w:cs="Times New Roman"/>
          <w:b/>
          <w:sz w:val="24"/>
          <w:szCs w:val="24"/>
        </w:rPr>
        <w:t xml:space="preserve">, </w:t>
      </w:r>
    </w:p>
    <w:p w14:paraId="7289E5D8" w14:textId="77777777" w:rsidR="00151FB0" w:rsidRPr="00E377F3" w:rsidRDefault="00151FB0" w:rsidP="0074176F">
      <w:pPr>
        <w:rPr>
          <w:sz w:val="24"/>
          <w:szCs w:val="24"/>
        </w:rPr>
      </w:pPr>
    </w:p>
    <w:p w14:paraId="2F437BF7" w14:textId="77777777" w:rsidR="00151FB0" w:rsidRPr="00E377F3" w:rsidRDefault="00151FB0" w:rsidP="00151FB0">
      <w:pPr>
        <w:jc w:val="center"/>
        <w:rPr>
          <w:rFonts w:ascii="Times New Roman" w:hAnsi="Times New Roman" w:cs="Times New Roman"/>
          <w:sz w:val="24"/>
          <w:szCs w:val="24"/>
        </w:rPr>
      </w:pPr>
      <w:r w:rsidRPr="00E377F3">
        <w:rPr>
          <w:rFonts w:ascii="Times New Roman" w:hAnsi="Times New Roman" w:cs="Times New Roman"/>
          <w:sz w:val="24"/>
          <w:szCs w:val="24"/>
        </w:rPr>
        <w:t>D</w:t>
      </w:r>
      <w:r w:rsidR="00E049A3" w:rsidRPr="00E377F3">
        <w:rPr>
          <w:rFonts w:ascii="Times New Roman" w:hAnsi="Times New Roman" w:cs="Times New Roman"/>
          <w:sz w:val="24"/>
          <w:szCs w:val="24"/>
        </w:rPr>
        <w:t>ecretan:</w:t>
      </w:r>
    </w:p>
    <w:p w14:paraId="4AF78D2B" w14:textId="77777777" w:rsidR="00194922" w:rsidRPr="00E377F3" w:rsidRDefault="00151FB0" w:rsidP="00151FB0">
      <w:pPr>
        <w:spacing w:line="480" w:lineRule="auto"/>
        <w:jc w:val="center"/>
        <w:rPr>
          <w:rFonts w:ascii="Times New Roman" w:hAnsi="Times New Roman" w:cs="Times New Roman"/>
          <w:b/>
          <w:sz w:val="24"/>
          <w:szCs w:val="24"/>
        </w:rPr>
      </w:pPr>
      <w:r w:rsidRPr="00E377F3">
        <w:rPr>
          <w:rFonts w:ascii="Times New Roman" w:hAnsi="Times New Roman" w:cs="Times New Roman"/>
          <w:b/>
          <w:sz w:val="24"/>
          <w:szCs w:val="24"/>
        </w:rPr>
        <w:t xml:space="preserve">“Reglamento para la aplicación del inciso b) del artículo 67 de la Ley de </w:t>
      </w:r>
      <w:r w:rsidR="0045217A" w:rsidRPr="00E377F3">
        <w:rPr>
          <w:rFonts w:ascii="Times New Roman" w:hAnsi="Times New Roman" w:cs="Times New Roman"/>
          <w:b/>
          <w:sz w:val="24"/>
          <w:szCs w:val="24"/>
        </w:rPr>
        <w:t xml:space="preserve">General de </w:t>
      </w:r>
      <w:r w:rsidRPr="00E377F3">
        <w:rPr>
          <w:rFonts w:ascii="Times New Roman" w:hAnsi="Times New Roman" w:cs="Times New Roman"/>
          <w:b/>
          <w:sz w:val="24"/>
          <w:szCs w:val="24"/>
        </w:rPr>
        <w:t xml:space="preserve">Arrendamientos Urbanos y Suburbanos, Ley Nº </w:t>
      </w:r>
      <w:r w:rsidR="0045217A" w:rsidRPr="00E377F3">
        <w:rPr>
          <w:rFonts w:ascii="Times New Roman" w:hAnsi="Times New Roman" w:cs="Times New Roman"/>
          <w:b/>
          <w:sz w:val="24"/>
          <w:szCs w:val="24"/>
        </w:rPr>
        <w:t>7527 de 10 de julio de 1995</w:t>
      </w:r>
      <w:r w:rsidR="003E7B28" w:rsidRPr="00E377F3">
        <w:rPr>
          <w:rFonts w:ascii="Times New Roman" w:hAnsi="Times New Roman" w:cs="Times New Roman"/>
          <w:b/>
          <w:sz w:val="24"/>
          <w:szCs w:val="24"/>
        </w:rPr>
        <w:t>"</w:t>
      </w:r>
    </w:p>
    <w:p w14:paraId="15EF8DAE" w14:textId="77777777" w:rsidR="001077CC" w:rsidRPr="00E377F3" w:rsidRDefault="001077CC" w:rsidP="001077CC">
      <w:pPr>
        <w:pStyle w:val="Prrafodelista"/>
        <w:rPr>
          <w:rFonts w:cs="Arial"/>
          <w:sz w:val="24"/>
          <w:szCs w:val="24"/>
        </w:rPr>
      </w:pPr>
    </w:p>
    <w:p w14:paraId="221B04A2" w14:textId="7DB52D50" w:rsidR="00903F71" w:rsidRPr="00E377F3" w:rsidRDefault="002B2B72" w:rsidP="00903F71">
      <w:pPr>
        <w:pStyle w:val="Prrafodelista"/>
        <w:spacing w:line="480" w:lineRule="auto"/>
        <w:ind w:left="0"/>
        <w:jc w:val="both"/>
        <w:rPr>
          <w:rFonts w:ascii="Times New Roman" w:hAnsi="Times New Roman" w:cs="Times New Roman"/>
          <w:sz w:val="24"/>
          <w:szCs w:val="24"/>
        </w:rPr>
      </w:pPr>
      <w:r w:rsidRPr="00E377F3">
        <w:rPr>
          <w:rFonts w:ascii="Times New Roman" w:hAnsi="Times New Roman" w:cs="Times New Roman"/>
          <w:sz w:val="24"/>
          <w:szCs w:val="24"/>
        </w:rPr>
        <w:t xml:space="preserve">Artículo </w:t>
      </w:r>
      <w:r w:rsidR="00C84809" w:rsidRPr="00E377F3">
        <w:rPr>
          <w:rFonts w:ascii="Times New Roman" w:hAnsi="Times New Roman" w:cs="Times New Roman"/>
          <w:sz w:val="24"/>
          <w:szCs w:val="24"/>
        </w:rPr>
        <w:t xml:space="preserve">1. ─ </w:t>
      </w:r>
      <w:r w:rsidR="001077CC" w:rsidRPr="00E377F3">
        <w:rPr>
          <w:rFonts w:ascii="Times New Roman" w:hAnsi="Times New Roman" w:cs="Times New Roman"/>
          <w:sz w:val="24"/>
          <w:szCs w:val="24"/>
        </w:rPr>
        <w:t>Objeto</w:t>
      </w:r>
      <w:r w:rsidRPr="00E377F3">
        <w:rPr>
          <w:rFonts w:ascii="Times New Roman" w:hAnsi="Times New Roman" w:cs="Times New Roman"/>
          <w:sz w:val="24"/>
          <w:szCs w:val="24"/>
        </w:rPr>
        <w:t>. El p</w:t>
      </w:r>
      <w:r w:rsidR="00C24CFE" w:rsidRPr="00E377F3">
        <w:rPr>
          <w:rFonts w:ascii="Times New Roman" w:hAnsi="Times New Roman" w:cs="Times New Roman"/>
          <w:sz w:val="24"/>
          <w:szCs w:val="24"/>
        </w:rPr>
        <w:t xml:space="preserve">resente </w:t>
      </w:r>
      <w:r w:rsidRPr="00E377F3">
        <w:rPr>
          <w:rFonts w:ascii="Times New Roman" w:hAnsi="Times New Roman" w:cs="Times New Roman"/>
          <w:sz w:val="24"/>
          <w:szCs w:val="24"/>
        </w:rPr>
        <w:t xml:space="preserve">reglamento </w:t>
      </w:r>
      <w:r w:rsidR="00C24CFE" w:rsidRPr="00E377F3">
        <w:rPr>
          <w:rFonts w:ascii="Times New Roman" w:hAnsi="Times New Roman" w:cs="Times New Roman"/>
          <w:sz w:val="24"/>
          <w:szCs w:val="24"/>
        </w:rPr>
        <w:t xml:space="preserve">tiene </w:t>
      </w:r>
      <w:r w:rsidR="002A7062">
        <w:rPr>
          <w:rFonts w:ascii="Times New Roman" w:hAnsi="Times New Roman" w:cs="Times New Roman"/>
          <w:sz w:val="24"/>
          <w:szCs w:val="24"/>
        </w:rPr>
        <w:t xml:space="preserve">como fin </w:t>
      </w:r>
      <w:r w:rsidR="00705D97" w:rsidRPr="00E377F3">
        <w:rPr>
          <w:rFonts w:ascii="Times New Roman" w:hAnsi="Times New Roman" w:cs="Times New Roman"/>
          <w:sz w:val="24"/>
          <w:szCs w:val="24"/>
        </w:rPr>
        <w:t>establecer la fórmula técnica que corresponde ser aplicada</w:t>
      </w:r>
      <w:r w:rsidRPr="00E377F3">
        <w:rPr>
          <w:rFonts w:ascii="Times New Roman" w:hAnsi="Times New Roman" w:cs="Times New Roman"/>
          <w:sz w:val="24"/>
          <w:szCs w:val="24"/>
        </w:rPr>
        <w:t xml:space="preserve"> para conservar el equilibrio de las prestaciones entre arrendador y arrendatario </w:t>
      </w:r>
      <w:r w:rsidR="0065448B" w:rsidRPr="00E377F3">
        <w:rPr>
          <w:rFonts w:ascii="Times New Roman" w:hAnsi="Times New Roman" w:cs="Times New Roman"/>
          <w:sz w:val="24"/>
          <w:szCs w:val="24"/>
        </w:rPr>
        <w:t xml:space="preserve">cuando </w:t>
      </w:r>
      <w:r w:rsidR="00C87B39" w:rsidRPr="00E377F3">
        <w:rPr>
          <w:rFonts w:ascii="Times New Roman" w:hAnsi="Times New Roman" w:cs="Times New Roman"/>
          <w:sz w:val="24"/>
          <w:szCs w:val="24"/>
        </w:rPr>
        <w:t>sobrevenga</w:t>
      </w:r>
      <w:r w:rsidR="0065448B" w:rsidRPr="00E377F3">
        <w:rPr>
          <w:rFonts w:ascii="Times New Roman" w:hAnsi="Times New Roman" w:cs="Times New Roman"/>
          <w:sz w:val="24"/>
          <w:szCs w:val="24"/>
        </w:rPr>
        <w:t xml:space="preserve"> </w:t>
      </w:r>
      <w:r w:rsidRPr="00E377F3">
        <w:rPr>
          <w:rFonts w:ascii="Times New Roman" w:hAnsi="Times New Roman" w:cs="Times New Roman"/>
          <w:sz w:val="24"/>
          <w:szCs w:val="24"/>
        </w:rPr>
        <w:t>el supuesto</w:t>
      </w:r>
      <w:r w:rsidR="0065448B" w:rsidRPr="00E377F3">
        <w:rPr>
          <w:rFonts w:ascii="Times New Roman" w:hAnsi="Times New Roman" w:cs="Times New Roman"/>
          <w:sz w:val="24"/>
          <w:szCs w:val="24"/>
        </w:rPr>
        <w:t xml:space="preserve"> establecido</w:t>
      </w:r>
      <w:r w:rsidRPr="00E377F3">
        <w:rPr>
          <w:rFonts w:ascii="Times New Roman" w:hAnsi="Times New Roman" w:cs="Times New Roman"/>
          <w:sz w:val="24"/>
          <w:szCs w:val="24"/>
        </w:rPr>
        <w:t xml:space="preserve"> </w:t>
      </w:r>
      <w:r w:rsidR="0065448B" w:rsidRPr="00E377F3">
        <w:rPr>
          <w:rFonts w:ascii="Times New Roman" w:hAnsi="Times New Roman" w:cs="Times New Roman"/>
          <w:sz w:val="24"/>
          <w:szCs w:val="24"/>
        </w:rPr>
        <w:t>en e</w:t>
      </w:r>
      <w:r w:rsidRPr="00E377F3">
        <w:rPr>
          <w:rFonts w:ascii="Times New Roman" w:hAnsi="Times New Roman" w:cs="Times New Roman"/>
          <w:sz w:val="24"/>
          <w:szCs w:val="24"/>
        </w:rPr>
        <w:t xml:space="preserve">l inciso b) del artículo 67 de la </w:t>
      </w:r>
      <w:r w:rsidR="00615C11" w:rsidRPr="00E377F3">
        <w:rPr>
          <w:rFonts w:ascii="Times New Roman" w:hAnsi="Times New Roman" w:cs="Times New Roman"/>
          <w:sz w:val="24"/>
          <w:szCs w:val="24"/>
        </w:rPr>
        <w:t xml:space="preserve">Ley General de Arrendamientos Urbanos y Suburbanos, </w:t>
      </w:r>
      <w:r w:rsidRPr="00E377F3">
        <w:rPr>
          <w:rFonts w:ascii="Times New Roman" w:hAnsi="Times New Roman" w:cs="Times New Roman"/>
          <w:sz w:val="24"/>
          <w:szCs w:val="24"/>
        </w:rPr>
        <w:t>Ley Nº7527 de 10</w:t>
      </w:r>
      <w:r w:rsidR="002C05DD" w:rsidRPr="00E377F3">
        <w:rPr>
          <w:rFonts w:ascii="Times New Roman" w:hAnsi="Times New Roman" w:cs="Times New Roman"/>
          <w:sz w:val="24"/>
          <w:szCs w:val="24"/>
        </w:rPr>
        <w:t xml:space="preserve"> de julio de 1995 </w:t>
      </w:r>
      <w:r w:rsidR="002C05DD" w:rsidRPr="00E377F3">
        <w:rPr>
          <w:rFonts w:ascii="Times New Roman" w:hAnsi="Times New Roman" w:cs="Times New Roman"/>
          <w:sz w:val="24"/>
          <w:szCs w:val="24"/>
        </w:rPr>
        <w:lastRenderedPageBreak/>
        <w:t>y sus reforma, fijando el porcentaje de ajuste máximo para el precio de alquiler mensual de una vivienda, cuando la tasa de inflación acumulada de los doce meses anteriores al vencimiento de cada año del contrato sea mayor al diez por ciento (10%)</w:t>
      </w:r>
      <w:r w:rsidRPr="00E377F3">
        <w:rPr>
          <w:rFonts w:ascii="Times New Roman" w:hAnsi="Times New Roman" w:cs="Times New Roman"/>
          <w:sz w:val="24"/>
          <w:szCs w:val="24"/>
        </w:rPr>
        <w:t>.</w:t>
      </w:r>
    </w:p>
    <w:p w14:paraId="018D8C14" w14:textId="77777777" w:rsidR="00903F71" w:rsidRPr="00E377F3" w:rsidRDefault="00903F71" w:rsidP="00903F71">
      <w:pPr>
        <w:pStyle w:val="Prrafodelista"/>
        <w:spacing w:line="480" w:lineRule="auto"/>
        <w:ind w:left="0"/>
        <w:jc w:val="both"/>
        <w:rPr>
          <w:rFonts w:ascii="Times New Roman" w:hAnsi="Times New Roman" w:cs="Times New Roman"/>
          <w:sz w:val="24"/>
          <w:szCs w:val="24"/>
        </w:rPr>
      </w:pPr>
    </w:p>
    <w:p w14:paraId="2E438AD9" w14:textId="0402C66B" w:rsidR="00555B3B" w:rsidRPr="00E377F3" w:rsidRDefault="00903F71" w:rsidP="00555B3B">
      <w:pPr>
        <w:pStyle w:val="Prrafodelista"/>
        <w:spacing w:line="480" w:lineRule="auto"/>
        <w:ind w:left="0"/>
        <w:jc w:val="both"/>
        <w:rPr>
          <w:rFonts w:ascii="Times New Roman" w:hAnsi="Times New Roman" w:cs="Times New Roman"/>
          <w:sz w:val="24"/>
          <w:szCs w:val="24"/>
        </w:rPr>
      </w:pPr>
      <w:r w:rsidRPr="00E377F3">
        <w:rPr>
          <w:rFonts w:ascii="Times New Roman" w:hAnsi="Times New Roman" w:cs="Times New Roman"/>
          <w:sz w:val="24"/>
          <w:szCs w:val="24"/>
        </w:rPr>
        <w:t xml:space="preserve">Artículo </w:t>
      </w:r>
      <w:r w:rsidR="00C84809" w:rsidRPr="00E377F3">
        <w:rPr>
          <w:rFonts w:ascii="Times New Roman" w:hAnsi="Times New Roman" w:cs="Times New Roman"/>
          <w:sz w:val="24"/>
          <w:szCs w:val="24"/>
        </w:rPr>
        <w:t xml:space="preserve">2. ─ </w:t>
      </w:r>
      <w:r w:rsidR="00CE47F8" w:rsidRPr="00E377F3">
        <w:rPr>
          <w:rFonts w:ascii="Times New Roman" w:hAnsi="Times New Roman" w:cs="Times New Roman"/>
          <w:sz w:val="24"/>
          <w:szCs w:val="24"/>
        </w:rPr>
        <w:t>Criterio</w:t>
      </w:r>
      <w:r w:rsidR="006A4A3D" w:rsidRPr="00E377F3">
        <w:rPr>
          <w:rFonts w:ascii="Times New Roman" w:hAnsi="Times New Roman" w:cs="Times New Roman"/>
          <w:sz w:val="24"/>
          <w:szCs w:val="24"/>
        </w:rPr>
        <w:t xml:space="preserve"> </w:t>
      </w:r>
      <w:r w:rsidRPr="00E377F3">
        <w:rPr>
          <w:rFonts w:ascii="Times New Roman" w:hAnsi="Times New Roman" w:cs="Times New Roman"/>
          <w:sz w:val="24"/>
          <w:szCs w:val="24"/>
        </w:rPr>
        <w:t xml:space="preserve">aplicable. </w:t>
      </w:r>
      <w:r w:rsidRPr="00E377F3">
        <w:rPr>
          <w:rFonts w:ascii="Times New Roman" w:hAnsi="Times New Roman" w:cs="Times New Roman"/>
          <w:color w:val="000000"/>
          <w:sz w:val="24"/>
          <w:szCs w:val="24"/>
        </w:rPr>
        <w:t>Cuando la tasa de inflación acumulada de los doce meses anteriores al vencimiento de cada año del contrato sea mayor al diez por ciento (10%), el porcentaje adicional de ajuste por aumento que se aplicará al alquiler de la vivienda, siempre que no sea inferior a ese diez por ciento (10%) ni mayor que la tasa anual de inflación</w:t>
      </w:r>
      <w:r w:rsidR="006A4A3D" w:rsidRPr="00E377F3">
        <w:rPr>
          <w:rFonts w:ascii="Times New Roman" w:hAnsi="Times New Roman" w:cs="Times New Roman"/>
          <w:color w:val="000000"/>
          <w:sz w:val="24"/>
          <w:szCs w:val="24"/>
        </w:rPr>
        <w:t>,</w:t>
      </w:r>
      <w:r w:rsidRPr="00E377F3">
        <w:rPr>
          <w:rFonts w:ascii="Times New Roman" w:hAnsi="Times New Roman" w:cs="Times New Roman"/>
          <w:color w:val="000000"/>
          <w:sz w:val="24"/>
          <w:szCs w:val="24"/>
        </w:rPr>
        <w:t xml:space="preserve"> </w:t>
      </w:r>
      <w:r w:rsidRPr="00E377F3">
        <w:rPr>
          <w:rFonts w:ascii="Times New Roman" w:hAnsi="Times New Roman" w:cs="Times New Roman"/>
          <w:sz w:val="24"/>
          <w:szCs w:val="24"/>
        </w:rPr>
        <w:t xml:space="preserve">deberá calcularse utilizando </w:t>
      </w:r>
      <w:r w:rsidR="006A4A3D" w:rsidRPr="00E377F3">
        <w:rPr>
          <w:rFonts w:ascii="Times New Roman" w:hAnsi="Times New Roman" w:cs="Times New Roman"/>
          <w:sz w:val="24"/>
          <w:szCs w:val="24"/>
        </w:rPr>
        <w:t xml:space="preserve">el </w:t>
      </w:r>
      <w:r w:rsidRPr="00E377F3">
        <w:rPr>
          <w:rFonts w:ascii="Times New Roman" w:hAnsi="Times New Roman" w:cs="Times New Roman"/>
          <w:sz w:val="24"/>
          <w:szCs w:val="24"/>
        </w:rPr>
        <w:t>siguiente</w:t>
      </w:r>
      <w:r w:rsidR="006A4A3D" w:rsidRPr="00E377F3">
        <w:rPr>
          <w:rFonts w:ascii="Times New Roman" w:hAnsi="Times New Roman" w:cs="Times New Roman"/>
          <w:sz w:val="24"/>
          <w:szCs w:val="24"/>
        </w:rPr>
        <w:t xml:space="preserve"> criterio</w:t>
      </w:r>
      <w:r w:rsidR="00CE47F8" w:rsidRPr="00E377F3">
        <w:rPr>
          <w:rFonts w:ascii="Times New Roman" w:hAnsi="Times New Roman" w:cs="Times New Roman"/>
          <w:sz w:val="24"/>
          <w:szCs w:val="24"/>
        </w:rPr>
        <w:t>:</w:t>
      </w:r>
    </w:p>
    <w:p w14:paraId="7032676B" w14:textId="77777777" w:rsidR="00667965" w:rsidRPr="00E377F3" w:rsidRDefault="00667965" w:rsidP="00555B3B">
      <w:pPr>
        <w:pStyle w:val="Prrafodelista"/>
        <w:spacing w:line="480" w:lineRule="auto"/>
        <w:ind w:left="0"/>
        <w:jc w:val="both"/>
        <w:rPr>
          <w:rFonts w:ascii="Times New Roman" w:hAnsi="Times New Roman" w:cs="Times New Roman"/>
          <w:sz w:val="24"/>
          <w:szCs w:val="24"/>
        </w:rPr>
      </w:pPr>
    </w:p>
    <w:p w14:paraId="58B66F3D" w14:textId="77777777" w:rsidR="00667965" w:rsidRPr="00E377F3" w:rsidRDefault="00667965" w:rsidP="00667965">
      <w:pPr>
        <w:pStyle w:val="Prrafodelista"/>
        <w:spacing w:line="480" w:lineRule="auto"/>
        <w:ind w:left="0"/>
        <w:jc w:val="center"/>
        <w:rPr>
          <w:rFonts w:cs="Arial"/>
          <w:b/>
          <w:sz w:val="24"/>
          <w:szCs w:val="24"/>
        </w:rPr>
      </w:pPr>
      <w:r w:rsidRPr="00E377F3">
        <w:rPr>
          <w:rFonts w:cs="Arial"/>
          <w:b/>
          <w:sz w:val="24"/>
          <w:szCs w:val="24"/>
        </w:rPr>
        <w:t>10 % &lt; P ≤ I</w:t>
      </w:r>
    </w:p>
    <w:p w14:paraId="69D66707" w14:textId="77777777" w:rsidR="005D176E" w:rsidRPr="00E377F3" w:rsidRDefault="005D176E" w:rsidP="00555B3B">
      <w:pPr>
        <w:pStyle w:val="Prrafodelista"/>
        <w:spacing w:line="480" w:lineRule="auto"/>
        <w:ind w:left="0"/>
        <w:jc w:val="both"/>
        <w:rPr>
          <w:rFonts w:ascii="Times New Roman" w:hAnsi="Times New Roman" w:cs="Times New Roman"/>
          <w:sz w:val="24"/>
          <w:szCs w:val="24"/>
        </w:rPr>
      </w:pPr>
      <w:r w:rsidRPr="00E377F3">
        <w:rPr>
          <w:rFonts w:ascii="Times New Roman" w:hAnsi="Times New Roman" w:cs="Times New Roman"/>
          <w:sz w:val="24"/>
          <w:szCs w:val="24"/>
        </w:rPr>
        <w:t>Donde:</w:t>
      </w:r>
    </w:p>
    <w:p w14:paraId="613B58A6" w14:textId="2A984D80" w:rsidR="00555B3B" w:rsidRPr="00E377F3" w:rsidRDefault="00667965" w:rsidP="00265CA4">
      <w:pPr>
        <w:autoSpaceDE w:val="0"/>
        <w:autoSpaceDN w:val="0"/>
        <w:adjustRightInd w:val="0"/>
        <w:spacing w:after="0" w:line="480" w:lineRule="auto"/>
        <w:jc w:val="both"/>
        <w:rPr>
          <w:rFonts w:ascii="Times New Roman" w:hAnsi="Times New Roman" w:cs="Times New Roman"/>
          <w:sz w:val="24"/>
          <w:szCs w:val="24"/>
        </w:rPr>
      </w:pPr>
      <w:r w:rsidRPr="00E377F3">
        <w:rPr>
          <w:rFonts w:cs="Arial"/>
          <w:b/>
          <w:sz w:val="24"/>
          <w:szCs w:val="24"/>
        </w:rPr>
        <w:t>"P"=</w:t>
      </w:r>
      <w:r w:rsidRPr="00E377F3">
        <w:rPr>
          <w:rFonts w:ascii="Times New Roman" w:hAnsi="Times New Roman" w:cs="Times New Roman"/>
          <w:b/>
          <w:sz w:val="24"/>
          <w:szCs w:val="24"/>
        </w:rPr>
        <w:t xml:space="preserve"> </w:t>
      </w:r>
      <w:r w:rsidR="00CE47F8" w:rsidRPr="00E377F3">
        <w:rPr>
          <w:rFonts w:ascii="Times New Roman" w:hAnsi="Times New Roman" w:cs="Times New Roman"/>
          <w:sz w:val="24"/>
          <w:szCs w:val="24"/>
        </w:rPr>
        <w:t xml:space="preserve">Porcentaje </w:t>
      </w:r>
      <w:r w:rsidR="00265CA4" w:rsidRPr="00E377F3">
        <w:rPr>
          <w:rFonts w:ascii="Times New Roman" w:hAnsi="Times New Roman" w:cs="Times New Roman"/>
          <w:sz w:val="24"/>
          <w:szCs w:val="24"/>
        </w:rPr>
        <w:t>máximo de aumento permitido para el ajuste anual del precio de alquiler de vivienda.</w:t>
      </w:r>
    </w:p>
    <w:p w14:paraId="3CC4C1BB" w14:textId="694E00E9" w:rsidR="00265CA4" w:rsidRDefault="00265CA4" w:rsidP="00265CA4">
      <w:pPr>
        <w:autoSpaceDE w:val="0"/>
        <w:autoSpaceDN w:val="0"/>
        <w:adjustRightInd w:val="0"/>
        <w:spacing w:after="0" w:line="480" w:lineRule="auto"/>
        <w:jc w:val="both"/>
        <w:rPr>
          <w:rFonts w:ascii="Times New Roman" w:hAnsi="Times New Roman" w:cs="Times New Roman"/>
          <w:sz w:val="24"/>
          <w:szCs w:val="24"/>
        </w:rPr>
      </w:pPr>
      <w:r w:rsidRPr="00E377F3">
        <w:rPr>
          <w:rFonts w:cs="Arial"/>
          <w:b/>
          <w:sz w:val="24"/>
          <w:szCs w:val="24"/>
        </w:rPr>
        <w:t xml:space="preserve">"I"=   </w:t>
      </w:r>
      <w:r w:rsidR="00CE47F8" w:rsidRPr="00E377F3">
        <w:rPr>
          <w:rFonts w:ascii="Times New Roman" w:hAnsi="Times New Roman" w:cs="Times New Roman"/>
          <w:sz w:val="24"/>
          <w:szCs w:val="24"/>
        </w:rPr>
        <w:t>T</w:t>
      </w:r>
      <w:r w:rsidRPr="00E377F3">
        <w:rPr>
          <w:rFonts w:ascii="Times New Roman" w:hAnsi="Times New Roman" w:cs="Times New Roman"/>
          <w:sz w:val="24"/>
          <w:szCs w:val="24"/>
        </w:rPr>
        <w:t xml:space="preserve">asa de inflación acumulada de los doce anteriores al vencimiento de </w:t>
      </w:r>
      <w:r w:rsidR="00CE47F8" w:rsidRPr="00E377F3">
        <w:rPr>
          <w:rFonts w:ascii="Times New Roman" w:hAnsi="Times New Roman" w:cs="Times New Roman"/>
          <w:sz w:val="24"/>
          <w:szCs w:val="24"/>
        </w:rPr>
        <w:t>c</w:t>
      </w:r>
      <w:r w:rsidRPr="00E377F3">
        <w:rPr>
          <w:rFonts w:ascii="Times New Roman" w:hAnsi="Times New Roman" w:cs="Times New Roman"/>
          <w:sz w:val="24"/>
          <w:szCs w:val="24"/>
        </w:rPr>
        <w:t>ada año del contrato.</w:t>
      </w:r>
    </w:p>
    <w:p w14:paraId="7085D377" w14:textId="77777777" w:rsidR="002378F6" w:rsidRPr="00E377F3" w:rsidRDefault="002378F6" w:rsidP="00265CA4">
      <w:pPr>
        <w:autoSpaceDE w:val="0"/>
        <w:autoSpaceDN w:val="0"/>
        <w:adjustRightInd w:val="0"/>
        <w:spacing w:after="0" w:line="480" w:lineRule="auto"/>
        <w:jc w:val="both"/>
        <w:rPr>
          <w:rFonts w:cs="Arial"/>
          <w:b/>
          <w:sz w:val="24"/>
          <w:szCs w:val="24"/>
        </w:rPr>
      </w:pPr>
    </w:p>
    <w:p w14:paraId="5AC592E6" w14:textId="534436FC" w:rsidR="00867E74" w:rsidRPr="00E377F3" w:rsidRDefault="00E65D99" w:rsidP="00626082">
      <w:pPr>
        <w:pStyle w:val="Prrafodelista"/>
        <w:spacing w:line="480" w:lineRule="auto"/>
        <w:ind w:left="0"/>
        <w:jc w:val="both"/>
        <w:rPr>
          <w:rFonts w:ascii="Times New Roman" w:hAnsi="Times New Roman"/>
          <w:sz w:val="24"/>
          <w:szCs w:val="24"/>
        </w:rPr>
      </w:pPr>
      <w:r w:rsidRPr="00E377F3">
        <w:rPr>
          <w:rFonts w:ascii="Times New Roman" w:hAnsi="Times New Roman" w:cs="Times New Roman"/>
          <w:sz w:val="24"/>
          <w:szCs w:val="24"/>
        </w:rPr>
        <w:t xml:space="preserve">Artículo </w:t>
      </w:r>
      <w:r w:rsidR="00D848F6" w:rsidRPr="00E377F3">
        <w:rPr>
          <w:rFonts w:ascii="Times New Roman" w:hAnsi="Times New Roman" w:cs="Times New Roman"/>
          <w:sz w:val="24"/>
          <w:szCs w:val="24"/>
        </w:rPr>
        <w:t>3. ─</w:t>
      </w:r>
      <w:r w:rsidRPr="00E377F3">
        <w:rPr>
          <w:rFonts w:ascii="Times New Roman" w:hAnsi="Times New Roman" w:cs="Times New Roman"/>
          <w:sz w:val="24"/>
          <w:szCs w:val="24"/>
        </w:rPr>
        <w:t xml:space="preserve"> Variables consideradas para la aplicación del ajuste</w:t>
      </w:r>
      <w:r w:rsidR="00626082" w:rsidRPr="00E377F3">
        <w:rPr>
          <w:rFonts w:ascii="Times New Roman" w:hAnsi="Times New Roman" w:cs="Times New Roman"/>
          <w:sz w:val="24"/>
          <w:szCs w:val="24"/>
        </w:rPr>
        <w:t xml:space="preserve">. </w:t>
      </w:r>
      <w:r w:rsidR="00626082" w:rsidRPr="00E377F3">
        <w:rPr>
          <w:rFonts w:ascii="Times New Roman" w:hAnsi="Times New Roman"/>
          <w:sz w:val="24"/>
          <w:szCs w:val="24"/>
        </w:rPr>
        <w:t xml:space="preserve">En el momento de definir el precio de alquiler de una vivienda, el propietario debe tomar </w:t>
      </w:r>
      <w:r w:rsidR="00772397" w:rsidRPr="00E377F3">
        <w:rPr>
          <w:rFonts w:ascii="Times New Roman" w:hAnsi="Times New Roman"/>
          <w:sz w:val="24"/>
          <w:szCs w:val="24"/>
        </w:rPr>
        <w:t xml:space="preserve">en </w:t>
      </w:r>
      <w:r w:rsidR="00626082" w:rsidRPr="00E377F3">
        <w:rPr>
          <w:rFonts w:ascii="Times New Roman" w:hAnsi="Times New Roman"/>
          <w:sz w:val="24"/>
          <w:szCs w:val="24"/>
        </w:rPr>
        <w:t xml:space="preserve">cuenta </w:t>
      </w:r>
      <w:r w:rsidR="002378F6">
        <w:rPr>
          <w:rFonts w:ascii="Times New Roman" w:hAnsi="Times New Roman"/>
          <w:sz w:val="24"/>
          <w:szCs w:val="24"/>
        </w:rPr>
        <w:t>las</w:t>
      </w:r>
      <w:r w:rsidR="00626082" w:rsidRPr="00E377F3">
        <w:rPr>
          <w:rFonts w:ascii="Times New Roman" w:hAnsi="Times New Roman"/>
          <w:sz w:val="24"/>
          <w:szCs w:val="24"/>
        </w:rPr>
        <w:t xml:space="preserve"> </w:t>
      </w:r>
      <w:r w:rsidR="00350530" w:rsidRPr="00E377F3">
        <w:rPr>
          <w:rFonts w:ascii="Times New Roman" w:hAnsi="Times New Roman"/>
          <w:sz w:val="24"/>
          <w:szCs w:val="24"/>
        </w:rPr>
        <w:t>variables</w:t>
      </w:r>
      <w:r w:rsidR="00626082" w:rsidRPr="00E377F3">
        <w:rPr>
          <w:rFonts w:ascii="Times New Roman" w:hAnsi="Times New Roman"/>
          <w:sz w:val="24"/>
          <w:szCs w:val="24"/>
        </w:rPr>
        <w:t xml:space="preserve"> que permitan un cálculo justo y equilibrado para ambas partes</w:t>
      </w:r>
      <w:r w:rsidR="002378F6">
        <w:rPr>
          <w:rFonts w:ascii="Times New Roman" w:hAnsi="Times New Roman"/>
          <w:sz w:val="24"/>
          <w:szCs w:val="24"/>
        </w:rPr>
        <w:t>,</w:t>
      </w:r>
      <w:r w:rsidR="00626082" w:rsidRPr="00E377F3">
        <w:rPr>
          <w:rFonts w:ascii="Times New Roman" w:hAnsi="Times New Roman"/>
          <w:sz w:val="24"/>
          <w:szCs w:val="24"/>
        </w:rPr>
        <w:t xml:space="preserve"> arrendador y arrendatario, a la vez que garanticen su viabilidad o </w:t>
      </w:r>
      <w:r w:rsidR="00350530" w:rsidRPr="00E377F3">
        <w:rPr>
          <w:rFonts w:ascii="Times New Roman" w:hAnsi="Times New Roman"/>
          <w:sz w:val="24"/>
          <w:szCs w:val="24"/>
        </w:rPr>
        <w:t xml:space="preserve">accesibilidad al </w:t>
      </w:r>
      <w:r w:rsidR="00626082" w:rsidRPr="00E377F3">
        <w:rPr>
          <w:rFonts w:ascii="Times New Roman" w:hAnsi="Times New Roman"/>
          <w:sz w:val="24"/>
          <w:szCs w:val="24"/>
        </w:rPr>
        <w:t xml:space="preserve">arrendamiento. </w:t>
      </w:r>
      <w:r w:rsidR="00F35732" w:rsidRPr="00E377F3">
        <w:rPr>
          <w:rFonts w:ascii="Times New Roman" w:hAnsi="Times New Roman"/>
          <w:sz w:val="24"/>
          <w:szCs w:val="24"/>
        </w:rPr>
        <w:tab/>
      </w:r>
      <w:r w:rsidR="00F35732" w:rsidRPr="00E377F3">
        <w:rPr>
          <w:rFonts w:ascii="Times New Roman" w:hAnsi="Times New Roman"/>
          <w:sz w:val="24"/>
          <w:szCs w:val="24"/>
        </w:rPr>
        <w:tab/>
      </w:r>
      <w:r w:rsidR="00F35732" w:rsidRPr="00E377F3">
        <w:rPr>
          <w:rFonts w:ascii="Times New Roman" w:hAnsi="Times New Roman"/>
          <w:sz w:val="24"/>
          <w:szCs w:val="24"/>
        </w:rPr>
        <w:tab/>
      </w:r>
    </w:p>
    <w:p w14:paraId="4CD9C290" w14:textId="087ADCA5" w:rsidR="00867E74" w:rsidRPr="00E377F3" w:rsidRDefault="00C320A7" w:rsidP="00867E74">
      <w:pPr>
        <w:pStyle w:val="Prrafodelista"/>
        <w:spacing w:line="480" w:lineRule="auto"/>
        <w:ind w:left="0"/>
        <w:jc w:val="both"/>
        <w:rPr>
          <w:rFonts w:ascii="Times New Roman" w:hAnsi="Times New Roman"/>
          <w:sz w:val="24"/>
          <w:szCs w:val="24"/>
        </w:rPr>
      </w:pPr>
      <w:r w:rsidRPr="00E377F3">
        <w:rPr>
          <w:rFonts w:ascii="Times New Roman" w:hAnsi="Times New Roman"/>
          <w:sz w:val="24"/>
          <w:szCs w:val="24"/>
        </w:rPr>
        <w:t>L</w:t>
      </w:r>
      <w:r w:rsidR="00867E74" w:rsidRPr="00E377F3">
        <w:rPr>
          <w:rFonts w:ascii="Times New Roman" w:hAnsi="Times New Roman"/>
          <w:sz w:val="24"/>
          <w:szCs w:val="24"/>
        </w:rPr>
        <w:t xml:space="preserve">as variables </w:t>
      </w:r>
      <w:r w:rsidR="0041392E" w:rsidRPr="00E377F3">
        <w:rPr>
          <w:rFonts w:ascii="Times New Roman" w:hAnsi="Times New Roman"/>
          <w:sz w:val="24"/>
          <w:szCs w:val="24"/>
        </w:rPr>
        <w:t>consideradas</w:t>
      </w:r>
      <w:r w:rsidRPr="00E377F3">
        <w:rPr>
          <w:rFonts w:ascii="Times New Roman" w:hAnsi="Times New Roman"/>
          <w:sz w:val="24"/>
          <w:szCs w:val="24"/>
        </w:rPr>
        <w:t xml:space="preserve"> para la fijación del ajuste indicado, dada su atinencia y la posibilidad real de obtener la información requerida,</w:t>
      </w:r>
      <w:r w:rsidR="0041392E" w:rsidRPr="00E377F3">
        <w:rPr>
          <w:rFonts w:ascii="Times New Roman" w:hAnsi="Times New Roman"/>
          <w:sz w:val="24"/>
          <w:szCs w:val="24"/>
        </w:rPr>
        <w:t xml:space="preserve"> </w:t>
      </w:r>
      <w:r w:rsidRPr="00E377F3">
        <w:rPr>
          <w:rFonts w:ascii="Times New Roman" w:hAnsi="Times New Roman"/>
          <w:sz w:val="24"/>
          <w:szCs w:val="24"/>
        </w:rPr>
        <w:t xml:space="preserve">son </w:t>
      </w:r>
      <w:r w:rsidR="00867E74" w:rsidRPr="00E377F3">
        <w:rPr>
          <w:rFonts w:ascii="Times New Roman" w:hAnsi="Times New Roman"/>
          <w:sz w:val="24"/>
          <w:szCs w:val="24"/>
        </w:rPr>
        <w:t>las siguientes:</w:t>
      </w:r>
    </w:p>
    <w:p w14:paraId="7D365190" w14:textId="77777777" w:rsidR="00F35732" w:rsidRPr="00E377F3" w:rsidRDefault="00867E74" w:rsidP="00F35732">
      <w:pPr>
        <w:pStyle w:val="Prrafodelista"/>
        <w:numPr>
          <w:ilvl w:val="0"/>
          <w:numId w:val="28"/>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lastRenderedPageBreak/>
        <w:t xml:space="preserve">Variación porcentual del índice de precios de viviendas de interés social, acumulada de los doce meses anteriores al vencimiento de cada año del contrato </w:t>
      </w:r>
      <w:r w:rsidRPr="00E377F3">
        <w:rPr>
          <w:rFonts w:ascii="Times New Roman" w:hAnsi="Times New Roman" w:cs="Times New Roman"/>
          <w:b/>
          <w:bCs/>
          <w:sz w:val="24"/>
          <w:szCs w:val="24"/>
        </w:rPr>
        <w:t>(C</w:t>
      </w:r>
      <w:r w:rsidRPr="00E377F3">
        <w:rPr>
          <w:rFonts w:ascii="Times New Roman" w:hAnsi="Times New Roman" w:cs="Times New Roman"/>
          <w:sz w:val="24"/>
          <w:szCs w:val="24"/>
        </w:rPr>
        <w:t>).</w:t>
      </w:r>
    </w:p>
    <w:p w14:paraId="7F3C668C" w14:textId="77777777" w:rsidR="00F35732" w:rsidRPr="00E377F3" w:rsidRDefault="00F35732" w:rsidP="00F35732">
      <w:pPr>
        <w:pStyle w:val="Prrafodelista"/>
        <w:numPr>
          <w:ilvl w:val="0"/>
          <w:numId w:val="28"/>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Porcentaje de viviendas alquiladas, según estado físico (</w:t>
      </w:r>
      <w:r w:rsidRPr="00E377F3">
        <w:rPr>
          <w:rFonts w:ascii="Times New Roman" w:hAnsi="Times New Roman" w:cs="Times New Roman"/>
          <w:b/>
          <w:bCs/>
          <w:sz w:val="24"/>
          <w:szCs w:val="24"/>
        </w:rPr>
        <w:t>E)</w:t>
      </w:r>
      <w:r w:rsidRPr="00E377F3">
        <w:rPr>
          <w:rFonts w:ascii="Times New Roman" w:hAnsi="Times New Roman" w:cs="Times New Roman"/>
          <w:sz w:val="24"/>
          <w:szCs w:val="24"/>
        </w:rPr>
        <w:t>.</w:t>
      </w:r>
    </w:p>
    <w:p w14:paraId="2F7B0760" w14:textId="77777777" w:rsidR="00F35732" w:rsidRPr="00E377F3" w:rsidRDefault="00F35732" w:rsidP="00F35732">
      <w:pPr>
        <w:pStyle w:val="Prrafodelista"/>
        <w:numPr>
          <w:ilvl w:val="0"/>
          <w:numId w:val="28"/>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Porcentaje de viviendas alquiladas, según zona (</w:t>
      </w:r>
      <w:r w:rsidRPr="00E377F3">
        <w:rPr>
          <w:rFonts w:ascii="Times New Roman" w:hAnsi="Times New Roman" w:cs="Times New Roman"/>
          <w:b/>
          <w:bCs/>
          <w:sz w:val="24"/>
          <w:szCs w:val="24"/>
        </w:rPr>
        <w:t>Z</w:t>
      </w:r>
      <w:r w:rsidRPr="00E377F3">
        <w:rPr>
          <w:rFonts w:ascii="Times New Roman" w:hAnsi="Times New Roman" w:cs="Times New Roman"/>
          <w:sz w:val="24"/>
          <w:szCs w:val="24"/>
        </w:rPr>
        <w:t>).</w:t>
      </w:r>
    </w:p>
    <w:p w14:paraId="5755E916" w14:textId="77777777" w:rsidR="00F35732" w:rsidRPr="00E377F3" w:rsidRDefault="00F35732" w:rsidP="00F35732">
      <w:pPr>
        <w:pStyle w:val="Prrafodelista"/>
        <w:numPr>
          <w:ilvl w:val="0"/>
          <w:numId w:val="28"/>
        </w:numPr>
        <w:spacing w:line="480" w:lineRule="auto"/>
        <w:jc w:val="both"/>
        <w:rPr>
          <w:rFonts w:ascii="Times New Roman" w:hAnsi="Times New Roman" w:cs="Times New Roman"/>
          <w:sz w:val="24"/>
          <w:szCs w:val="24"/>
        </w:rPr>
      </w:pPr>
      <w:r w:rsidRPr="00E377F3">
        <w:rPr>
          <w:rFonts w:ascii="Century" w:hAnsi="Century" w:cs="Century"/>
          <w:sz w:val="24"/>
          <w:szCs w:val="24"/>
        </w:rPr>
        <w:t>Porcentaje de viviendas alquiladas, según disponibilidad de servicio básicos (</w:t>
      </w:r>
      <w:r w:rsidRPr="00E377F3">
        <w:rPr>
          <w:rFonts w:ascii="Century" w:hAnsi="Century" w:cs="Century"/>
          <w:b/>
          <w:bCs/>
          <w:sz w:val="24"/>
          <w:szCs w:val="24"/>
        </w:rPr>
        <w:t>S</w:t>
      </w:r>
      <w:r w:rsidRPr="00E377F3">
        <w:rPr>
          <w:rFonts w:ascii="Century" w:hAnsi="Century" w:cs="Century"/>
          <w:sz w:val="24"/>
          <w:szCs w:val="24"/>
        </w:rPr>
        <w:t>).</w:t>
      </w:r>
    </w:p>
    <w:p w14:paraId="266C788A" w14:textId="77777777" w:rsidR="00F35732" w:rsidRPr="00E377F3" w:rsidRDefault="00F35732" w:rsidP="00F35732">
      <w:pPr>
        <w:pStyle w:val="Prrafodelista"/>
        <w:numPr>
          <w:ilvl w:val="0"/>
          <w:numId w:val="28"/>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Porcentaje de ingreso promedio Total del hogar, que gasta en alquilar (</w:t>
      </w:r>
      <w:r w:rsidRPr="00E377F3">
        <w:rPr>
          <w:rFonts w:ascii="Times New Roman" w:hAnsi="Times New Roman" w:cs="Times New Roman"/>
          <w:b/>
          <w:bCs/>
          <w:sz w:val="24"/>
          <w:szCs w:val="24"/>
        </w:rPr>
        <w:t>G</w:t>
      </w:r>
      <w:r w:rsidRPr="00E377F3">
        <w:rPr>
          <w:rFonts w:ascii="Times New Roman" w:hAnsi="Times New Roman" w:cs="Times New Roman"/>
          <w:sz w:val="24"/>
          <w:szCs w:val="24"/>
        </w:rPr>
        <w:t>).</w:t>
      </w:r>
    </w:p>
    <w:p w14:paraId="3BBE9E2C" w14:textId="60235A51" w:rsidR="00F35732" w:rsidRDefault="00F35732" w:rsidP="00F35732">
      <w:pPr>
        <w:pStyle w:val="Prrafodelista"/>
        <w:numPr>
          <w:ilvl w:val="0"/>
          <w:numId w:val="28"/>
        </w:numPr>
        <w:spacing w:line="480" w:lineRule="auto"/>
        <w:jc w:val="both"/>
        <w:rPr>
          <w:rFonts w:ascii="Times New Roman" w:hAnsi="Times New Roman" w:cs="Times New Roman"/>
          <w:sz w:val="24"/>
          <w:szCs w:val="24"/>
        </w:rPr>
      </w:pPr>
      <w:r w:rsidRPr="00E377F3">
        <w:rPr>
          <w:rFonts w:ascii="Times New Roman" w:hAnsi="Times New Roman" w:cs="Times New Roman"/>
          <w:sz w:val="24"/>
          <w:szCs w:val="24"/>
        </w:rPr>
        <w:t>Porcentaje de hogares que alquilan vivienda, según nivel de pobreza (</w:t>
      </w:r>
      <w:r w:rsidRPr="00E377F3">
        <w:rPr>
          <w:rFonts w:ascii="Times New Roman" w:hAnsi="Times New Roman" w:cs="Times New Roman"/>
          <w:b/>
          <w:bCs/>
          <w:sz w:val="24"/>
          <w:szCs w:val="24"/>
        </w:rPr>
        <w:t>A</w:t>
      </w:r>
      <w:r w:rsidRPr="00E377F3">
        <w:rPr>
          <w:rFonts w:ascii="Times New Roman" w:hAnsi="Times New Roman" w:cs="Times New Roman"/>
          <w:sz w:val="24"/>
          <w:szCs w:val="24"/>
        </w:rPr>
        <w:t>).</w:t>
      </w:r>
    </w:p>
    <w:p w14:paraId="474CB183" w14:textId="77777777" w:rsidR="002378F6" w:rsidRPr="00E377F3" w:rsidRDefault="002378F6" w:rsidP="006E0910">
      <w:pPr>
        <w:pStyle w:val="Prrafodelista"/>
        <w:spacing w:line="480" w:lineRule="auto"/>
        <w:jc w:val="both"/>
        <w:rPr>
          <w:rFonts w:ascii="Times New Roman" w:hAnsi="Times New Roman" w:cs="Times New Roman"/>
          <w:sz w:val="24"/>
          <w:szCs w:val="24"/>
        </w:rPr>
      </w:pPr>
    </w:p>
    <w:p w14:paraId="35BF6E15" w14:textId="4A3C3BCC" w:rsidR="002378F6" w:rsidRDefault="00AD7A0F" w:rsidP="00626082">
      <w:pPr>
        <w:pStyle w:val="Prrafodelista"/>
        <w:spacing w:line="480" w:lineRule="auto"/>
        <w:ind w:left="0"/>
        <w:jc w:val="both"/>
        <w:rPr>
          <w:rFonts w:ascii="Times New Roman" w:hAnsi="Times New Roman" w:cs="Times New Roman"/>
          <w:sz w:val="24"/>
          <w:szCs w:val="24"/>
        </w:rPr>
      </w:pPr>
      <w:r w:rsidRPr="00E377F3">
        <w:rPr>
          <w:rFonts w:ascii="Times New Roman" w:hAnsi="Times New Roman"/>
          <w:sz w:val="24"/>
          <w:szCs w:val="24"/>
        </w:rPr>
        <w:t>Dichas variables hacen referencia a factores afines a</w:t>
      </w:r>
      <w:r w:rsidRPr="00E377F3">
        <w:rPr>
          <w:rFonts w:ascii="Times New Roman" w:hAnsi="Times New Roman" w:cs="Times New Roman"/>
          <w:sz w:val="24"/>
          <w:szCs w:val="24"/>
        </w:rPr>
        <w:t>l desarrollo de la actividad constructiva</w:t>
      </w:r>
      <w:r w:rsidR="0025374D" w:rsidRPr="00E377F3">
        <w:rPr>
          <w:rFonts w:ascii="Times New Roman" w:hAnsi="Times New Roman" w:cs="Times New Roman"/>
          <w:sz w:val="24"/>
          <w:szCs w:val="24"/>
        </w:rPr>
        <w:t xml:space="preserve"> </w:t>
      </w:r>
      <w:r w:rsidR="003613FF" w:rsidRPr="00E377F3">
        <w:rPr>
          <w:rFonts w:ascii="Times New Roman" w:hAnsi="Times New Roman" w:cs="Times New Roman"/>
          <w:sz w:val="24"/>
          <w:szCs w:val="24"/>
        </w:rPr>
        <w:t>incluyendo los costo</w:t>
      </w:r>
      <w:r w:rsidR="002378F6">
        <w:rPr>
          <w:rFonts w:ascii="Times New Roman" w:hAnsi="Times New Roman" w:cs="Times New Roman"/>
          <w:sz w:val="24"/>
          <w:szCs w:val="24"/>
        </w:rPr>
        <w:t>s</w:t>
      </w:r>
      <w:r w:rsidR="008738D9" w:rsidRPr="00E377F3">
        <w:rPr>
          <w:rFonts w:ascii="Times New Roman" w:hAnsi="Times New Roman" w:cs="Times New Roman"/>
          <w:sz w:val="24"/>
          <w:szCs w:val="24"/>
        </w:rPr>
        <w:t xml:space="preserve">, así como a otros vinculados al estado de la vivienda y al ingreso de los inquilinos, en </w:t>
      </w:r>
      <w:r w:rsidR="00955E1E" w:rsidRPr="00E377F3">
        <w:rPr>
          <w:rFonts w:ascii="Times New Roman" w:hAnsi="Times New Roman" w:cs="Times New Roman"/>
          <w:sz w:val="24"/>
          <w:szCs w:val="24"/>
        </w:rPr>
        <w:t xml:space="preserve">procura </w:t>
      </w:r>
      <w:r w:rsidR="008738D9" w:rsidRPr="00E377F3">
        <w:rPr>
          <w:rFonts w:ascii="Times New Roman" w:hAnsi="Times New Roman" w:cs="Times New Roman"/>
          <w:sz w:val="24"/>
          <w:szCs w:val="24"/>
        </w:rPr>
        <w:t xml:space="preserve">de alcanzar </w:t>
      </w:r>
      <w:r w:rsidRPr="00E377F3">
        <w:rPr>
          <w:rFonts w:ascii="Times New Roman" w:hAnsi="Times New Roman" w:cs="Times New Roman"/>
          <w:sz w:val="24"/>
          <w:szCs w:val="24"/>
        </w:rPr>
        <w:t>el equilibrio necesario entre prestaciones del arrendador y el arrendatario</w:t>
      </w:r>
      <w:r w:rsidR="008738D9" w:rsidRPr="00E377F3">
        <w:rPr>
          <w:rFonts w:ascii="Times New Roman" w:hAnsi="Times New Roman" w:cs="Times New Roman"/>
          <w:sz w:val="24"/>
          <w:szCs w:val="24"/>
        </w:rPr>
        <w:t xml:space="preserve">. </w:t>
      </w:r>
    </w:p>
    <w:p w14:paraId="6A1AC4F4" w14:textId="77777777" w:rsidR="002378F6" w:rsidRDefault="002378F6" w:rsidP="00626082">
      <w:pPr>
        <w:pStyle w:val="Prrafodelista"/>
        <w:spacing w:line="480" w:lineRule="auto"/>
        <w:ind w:left="0"/>
        <w:jc w:val="both"/>
        <w:rPr>
          <w:rFonts w:ascii="Times New Roman" w:hAnsi="Times New Roman" w:cs="Times New Roman"/>
          <w:sz w:val="24"/>
          <w:szCs w:val="24"/>
        </w:rPr>
      </w:pPr>
    </w:p>
    <w:p w14:paraId="5F2E7485" w14:textId="44B6CD6C" w:rsidR="002378F6" w:rsidRDefault="002378F6" w:rsidP="00626082">
      <w:pPr>
        <w:pStyle w:val="Prrafodelista"/>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Artículo </w:t>
      </w:r>
      <w:r w:rsidR="006E0910">
        <w:rPr>
          <w:rFonts w:ascii="Times New Roman" w:hAnsi="Times New Roman" w:cs="Times New Roman"/>
          <w:sz w:val="24"/>
          <w:szCs w:val="24"/>
        </w:rPr>
        <w:t>4</w:t>
      </w:r>
      <w:r w:rsidR="006E0910" w:rsidRPr="006E0910">
        <w:rPr>
          <w:rFonts w:ascii="Times New Roman" w:hAnsi="Times New Roman" w:cs="Times New Roman"/>
          <w:sz w:val="24"/>
          <w:szCs w:val="24"/>
        </w:rPr>
        <w:t xml:space="preserve">. ─ </w:t>
      </w:r>
      <w:r>
        <w:rPr>
          <w:rFonts w:ascii="Times New Roman" w:hAnsi="Times New Roman" w:cs="Times New Roman"/>
          <w:sz w:val="24"/>
          <w:szCs w:val="24"/>
        </w:rPr>
        <w:t>Factores. Dentro de los factores que afecta</w:t>
      </w:r>
      <w:r w:rsidR="00D93CB1">
        <w:rPr>
          <w:rFonts w:ascii="Times New Roman" w:hAnsi="Times New Roman" w:cs="Times New Roman"/>
          <w:sz w:val="24"/>
          <w:szCs w:val="24"/>
        </w:rPr>
        <w:t>n</w:t>
      </w:r>
      <w:r>
        <w:rPr>
          <w:rFonts w:ascii="Times New Roman" w:hAnsi="Times New Roman" w:cs="Times New Roman"/>
          <w:sz w:val="24"/>
          <w:szCs w:val="24"/>
        </w:rPr>
        <w:t xml:space="preserve"> las variables que inciden en la fijación del ajuste, se identifican las siguientes:</w:t>
      </w:r>
    </w:p>
    <w:p w14:paraId="3BC6ED38" w14:textId="77777777" w:rsidR="00CE47F8" w:rsidRPr="00E377F3" w:rsidRDefault="00AD7A0F" w:rsidP="00E36535">
      <w:pPr>
        <w:pStyle w:val="Prrafodelista"/>
        <w:numPr>
          <w:ilvl w:val="0"/>
          <w:numId w:val="30"/>
        </w:num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El nivel general de precios para la construcción de una vivienda de interés social</w:t>
      </w:r>
      <w:r w:rsidR="00556CC9" w:rsidRPr="00E377F3">
        <w:rPr>
          <w:rFonts w:ascii="Times New Roman" w:hAnsi="Times New Roman"/>
          <w:sz w:val="24"/>
          <w:szCs w:val="24"/>
        </w:rPr>
        <w:t xml:space="preserve"> (el Índice de precios de vivienda de interés social comprende una canasta de más de 30 elementos conexos)</w:t>
      </w:r>
      <w:r w:rsidRPr="00E377F3">
        <w:rPr>
          <w:rFonts w:ascii="Times New Roman" w:hAnsi="Times New Roman"/>
          <w:sz w:val="24"/>
          <w:szCs w:val="24"/>
        </w:rPr>
        <w:t>.</w:t>
      </w:r>
    </w:p>
    <w:p w14:paraId="47C958F5" w14:textId="0D5D96FA" w:rsidR="00626082" w:rsidRPr="00E377F3" w:rsidRDefault="00626082" w:rsidP="00E36535">
      <w:pPr>
        <w:pStyle w:val="Prrafodelista"/>
        <w:numPr>
          <w:ilvl w:val="0"/>
          <w:numId w:val="30"/>
        </w:num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color w:val="000000" w:themeColor="text1"/>
          <w:sz w:val="24"/>
          <w:szCs w:val="24"/>
        </w:rPr>
        <w:t>La localización de la vivienda (si está ubicada en zona urbana</w:t>
      </w:r>
      <w:r w:rsidR="00227E36" w:rsidRPr="00E377F3">
        <w:rPr>
          <w:rFonts w:ascii="Times New Roman" w:hAnsi="Times New Roman"/>
          <w:color w:val="000000" w:themeColor="text1"/>
          <w:sz w:val="24"/>
          <w:szCs w:val="24"/>
        </w:rPr>
        <w:t xml:space="preserve"> o</w:t>
      </w:r>
      <w:r w:rsidRPr="00E377F3">
        <w:rPr>
          <w:rFonts w:ascii="Times New Roman" w:hAnsi="Times New Roman"/>
          <w:color w:val="000000" w:themeColor="text1"/>
          <w:sz w:val="24"/>
          <w:szCs w:val="24"/>
        </w:rPr>
        <w:t xml:space="preserve"> rural</w:t>
      </w:r>
      <w:r w:rsidR="00CE47F8" w:rsidRPr="00E377F3">
        <w:rPr>
          <w:rFonts w:ascii="Times New Roman" w:hAnsi="Times New Roman"/>
          <w:color w:val="000000" w:themeColor="text1"/>
          <w:sz w:val="24"/>
          <w:szCs w:val="24"/>
        </w:rPr>
        <w:t>.</w:t>
      </w:r>
      <w:r w:rsidRPr="00E377F3">
        <w:rPr>
          <w:rFonts w:ascii="Times New Roman" w:hAnsi="Times New Roman"/>
          <w:color w:val="000000" w:themeColor="text1"/>
          <w:sz w:val="24"/>
          <w:szCs w:val="24"/>
        </w:rPr>
        <w:t xml:space="preserve"> </w:t>
      </w:r>
    </w:p>
    <w:p w14:paraId="12668DF1" w14:textId="6EA93E56" w:rsidR="00626082" w:rsidRPr="00E377F3" w:rsidRDefault="00626082" w:rsidP="00E36535">
      <w:pPr>
        <w:pStyle w:val="Prrafodelista"/>
        <w:numPr>
          <w:ilvl w:val="0"/>
          <w:numId w:val="30"/>
        </w:num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El estado físico de la vivienda.</w:t>
      </w:r>
    </w:p>
    <w:p w14:paraId="1763F59C" w14:textId="78FB76F9" w:rsidR="00626082" w:rsidRPr="00E377F3" w:rsidRDefault="00626082" w:rsidP="00E36535">
      <w:pPr>
        <w:pStyle w:val="Prrafodelista"/>
        <w:numPr>
          <w:ilvl w:val="0"/>
          <w:numId w:val="30"/>
        </w:numPr>
        <w:autoSpaceDE w:val="0"/>
        <w:autoSpaceDN w:val="0"/>
        <w:adjustRightInd w:val="0"/>
        <w:spacing w:after="0" w:line="480" w:lineRule="auto"/>
        <w:jc w:val="both"/>
        <w:rPr>
          <w:rFonts w:ascii="Times New Roman" w:hAnsi="Times New Roman"/>
          <w:color w:val="000000" w:themeColor="text1"/>
          <w:sz w:val="24"/>
          <w:szCs w:val="24"/>
        </w:rPr>
      </w:pPr>
      <w:r w:rsidRPr="00E377F3">
        <w:rPr>
          <w:rFonts w:ascii="Times New Roman" w:hAnsi="Times New Roman"/>
          <w:color w:val="000000" w:themeColor="text1"/>
          <w:sz w:val="24"/>
          <w:szCs w:val="24"/>
        </w:rPr>
        <w:t>La disponibilidad</w:t>
      </w:r>
      <w:r w:rsidR="00CE47F8" w:rsidRPr="00E377F3">
        <w:rPr>
          <w:rFonts w:ascii="Times New Roman" w:hAnsi="Times New Roman"/>
          <w:color w:val="FF0000"/>
          <w:sz w:val="24"/>
          <w:szCs w:val="24"/>
        </w:rPr>
        <w:t xml:space="preserve"> </w:t>
      </w:r>
      <w:r w:rsidRPr="00E377F3">
        <w:rPr>
          <w:rFonts w:ascii="Times New Roman" w:hAnsi="Times New Roman"/>
          <w:color w:val="000000" w:themeColor="text1"/>
          <w:sz w:val="24"/>
          <w:szCs w:val="24"/>
        </w:rPr>
        <w:t>de los servicios</w:t>
      </w:r>
      <w:r w:rsidR="00CE47F8" w:rsidRPr="00E377F3">
        <w:rPr>
          <w:rFonts w:ascii="Times New Roman" w:hAnsi="Times New Roman"/>
          <w:color w:val="000000" w:themeColor="text1"/>
          <w:sz w:val="24"/>
          <w:szCs w:val="24"/>
        </w:rPr>
        <w:t xml:space="preserve"> </w:t>
      </w:r>
      <w:r w:rsidRPr="00E377F3">
        <w:rPr>
          <w:rFonts w:ascii="Times New Roman" w:hAnsi="Times New Roman"/>
          <w:color w:val="000000" w:themeColor="text1"/>
          <w:sz w:val="24"/>
          <w:szCs w:val="24"/>
        </w:rPr>
        <w:t>básicos (agua, electricidad, teléfono, Internet, etc.).</w:t>
      </w:r>
    </w:p>
    <w:p w14:paraId="1A417967" w14:textId="519230B5" w:rsidR="00626082" w:rsidRPr="00E377F3" w:rsidRDefault="00626082" w:rsidP="00E36535">
      <w:pPr>
        <w:pStyle w:val="Prrafodelista"/>
        <w:numPr>
          <w:ilvl w:val="0"/>
          <w:numId w:val="30"/>
        </w:num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El flujo de ingresos esperados.</w:t>
      </w:r>
    </w:p>
    <w:p w14:paraId="1B0C2817" w14:textId="77777777" w:rsidR="00626082" w:rsidRPr="00E377F3" w:rsidRDefault="00626082" w:rsidP="00903F71">
      <w:pPr>
        <w:pStyle w:val="Prrafodelista"/>
        <w:spacing w:line="480" w:lineRule="auto"/>
        <w:ind w:left="0"/>
        <w:jc w:val="both"/>
        <w:rPr>
          <w:rFonts w:ascii="Times New Roman" w:hAnsi="Times New Roman" w:cs="Times New Roman"/>
          <w:sz w:val="24"/>
          <w:szCs w:val="24"/>
        </w:rPr>
      </w:pPr>
    </w:p>
    <w:p w14:paraId="3C6AB7B9" w14:textId="31D42A26" w:rsidR="00E405FA" w:rsidRPr="00E377F3" w:rsidRDefault="00903F71" w:rsidP="00E405FA">
      <w:pPr>
        <w:pStyle w:val="Prrafodelista"/>
        <w:spacing w:line="480" w:lineRule="auto"/>
        <w:ind w:left="0"/>
        <w:jc w:val="both"/>
        <w:rPr>
          <w:rFonts w:ascii="Times New Roman" w:hAnsi="Times New Roman"/>
          <w:sz w:val="24"/>
          <w:szCs w:val="24"/>
        </w:rPr>
      </w:pPr>
      <w:r w:rsidRPr="00E377F3">
        <w:rPr>
          <w:rFonts w:ascii="Times New Roman" w:hAnsi="Times New Roman" w:cs="Times New Roman"/>
          <w:sz w:val="24"/>
          <w:szCs w:val="24"/>
        </w:rPr>
        <w:t xml:space="preserve">Artículo </w:t>
      </w:r>
      <w:r w:rsidR="00D93CB1">
        <w:rPr>
          <w:rFonts w:ascii="Times New Roman" w:hAnsi="Times New Roman" w:cs="Times New Roman"/>
          <w:sz w:val="24"/>
          <w:szCs w:val="24"/>
        </w:rPr>
        <w:t>5</w:t>
      </w:r>
      <w:r w:rsidR="00C84809" w:rsidRPr="00E377F3">
        <w:rPr>
          <w:rFonts w:ascii="Times New Roman" w:hAnsi="Times New Roman" w:cs="Times New Roman"/>
          <w:sz w:val="24"/>
          <w:szCs w:val="24"/>
        </w:rPr>
        <w:t>. ─</w:t>
      </w:r>
      <w:r w:rsidR="004D278D" w:rsidRPr="00E377F3">
        <w:rPr>
          <w:rFonts w:ascii="Times New Roman" w:hAnsi="Times New Roman" w:cs="Times New Roman"/>
          <w:sz w:val="24"/>
          <w:szCs w:val="24"/>
        </w:rPr>
        <w:t xml:space="preserve"> </w:t>
      </w:r>
      <w:r w:rsidR="003613FF" w:rsidRPr="00E377F3">
        <w:rPr>
          <w:rFonts w:ascii="Times New Roman" w:hAnsi="Times New Roman" w:cs="Times New Roman"/>
          <w:sz w:val="24"/>
          <w:szCs w:val="24"/>
        </w:rPr>
        <w:t xml:space="preserve">Fórmula y </w:t>
      </w:r>
      <w:r w:rsidR="00E65D99" w:rsidRPr="00E377F3">
        <w:rPr>
          <w:rFonts w:ascii="Times New Roman" w:hAnsi="Times New Roman" w:cs="Times New Roman"/>
          <w:sz w:val="24"/>
          <w:szCs w:val="24"/>
        </w:rPr>
        <w:t>Metodología de cálculo del porcentaje máximo de ajuste.</w:t>
      </w:r>
      <w:r w:rsidR="00626082" w:rsidRPr="00E377F3">
        <w:rPr>
          <w:rFonts w:ascii="Times New Roman" w:hAnsi="Times New Roman" w:cs="Times New Roman"/>
          <w:sz w:val="24"/>
          <w:szCs w:val="24"/>
        </w:rPr>
        <w:t xml:space="preserve"> </w:t>
      </w:r>
      <w:r w:rsidR="00E405FA" w:rsidRPr="00E377F3">
        <w:rPr>
          <w:rFonts w:ascii="Times New Roman" w:hAnsi="Times New Roman"/>
          <w:bCs/>
          <w:sz w:val="24"/>
          <w:szCs w:val="24"/>
        </w:rPr>
        <w:t>El porcentaje máximo de ajuste</w:t>
      </w:r>
      <w:r w:rsidR="00E405FA" w:rsidRPr="00E377F3">
        <w:rPr>
          <w:rFonts w:ascii="Times New Roman" w:hAnsi="Times New Roman"/>
          <w:sz w:val="24"/>
          <w:szCs w:val="24"/>
        </w:rPr>
        <w:t xml:space="preserve"> (aumento) es igual a la tasa de inflación base (B) del 10% más el 25%, 50% o 75% de la diferencia entre la tasa de inflación acumulada de los doce meses anteriores al vencimiento de cada año del contrato (I) y la inflación base; según la nota final (NF) que resulta de la suma de los puntos obtenidos en la valoración de las seis variables consideradas (Ver</w:t>
      </w:r>
      <w:r w:rsidR="00F35732" w:rsidRPr="00E377F3">
        <w:rPr>
          <w:rFonts w:ascii="Times New Roman" w:hAnsi="Times New Roman"/>
          <w:sz w:val="24"/>
          <w:szCs w:val="24"/>
        </w:rPr>
        <w:t xml:space="preserve"> Anexos:</w:t>
      </w:r>
      <w:r w:rsidR="00E405FA" w:rsidRPr="00E377F3">
        <w:rPr>
          <w:rFonts w:ascii="Times New Roman" w:hAnsi="Times New Roman"/>
          <w:sz w:val="24"/>
          <w:szCs w:val="24"/>
        </w:rPr>
        <w:t xml:space="preserve"> Tabla N°1).</w:t>
      </w:r>
    </w:p>
    <w:p w14:paraId="651704FA"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Por consiguiente, las fórmulas a aplicar para la obtención de dicho porcentaje (P) son las</w:t>
      </w:r>
    </w:p>
    <w:p w14:paraId="3F26E3AE"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siguientes, según sea el caso:</w:t>
      </w:r>
    </w:p>
    <w:p w14:paraId="51F96386" w14:textId="77777777" w:rsidR="00E405FA" w:rsidRPr="00E377F3" w:rsidRDefault="00E405FA" w:rsidP="00E405FA">
      <w:pPr>
        <w:autoSpaceDE w:val="0"/>
        <w:autoSpaceDN w:val="0"/>
        <w:adjustRightInd w:val="0"/>
        <w:spacing w:after="0" w:line="480" w:lineRule="auto"/>
        <w:jc w:val="both"/>
        <w:rPr>
          <w:rFonts w:cs="Arial"/>
          <w:b/>
          <w:bCs/>
          <w:sz w:val="24"/>
          <w:szCs w:val="24"/>
          <w:lang w:val="en-US"/>
        </w:rPr>
      </w:pPr>
      <w:r w:rsidRPr="00E377F3">
        <w:rPr>
          <w:rFonts w:cs="Arial"/>
          <w:b/>
          <w:bCs/>
          <w:sz w:val="24"/>
          <w:szCs w:val="24"/>
        </w:rPr>
        <w:tab/>
      </w:r>
      <w:r w:rsidRPr="00E377F3">
        <w:rPr>
          <w:rFonts w:cs="Arial"/>
          <w:b/>
          <w:bCs/>
          <w:sz w:val="24"/>
          <w:szCs w:val="24"/>
        </w:rPr>
        <w:tab/>
      </w:r>
      <w:r w:rsidRPr="00E377F3">
        <w:rPr>
          <w:rFonts w:cs="Arial"/>
          <w:b/>
          <w:bCs/>
          <w:sz w:val="24"/>
          <w:szCs w:val="24"/>
          <w:lang w:val="en-US"/>
        </w:rPr>
        <w:t>P = B + (25% * (I - B)), si 6 ≤ NF ≤ 10</w:t>
      </w:r>
    </w:p>
    <w:p w14:paraId="676BF94C" w14:textId="77777777" w:rsidR="00E405FA" w:rsidRPr="00E377F3" w:rsidRDefault="00E405FA" w:rsidP="00E405FA">
      <w:pPr>
        <w:autoSpaceDE w:val="0"/>
        <w:autoSpaceDN w:val="0"/>
        <w:adjustRightInd w:val="0"/>
        <w:spacing w:after="0" w:line="480" w:lineRule="auto"/>
        <w:jc w:val="both"/>
        <w:rPr>
          <w:rFonts w:cs="Arial"/>
          <w:b/>
          <w:bCs/>
          <w:sz w:val="24"/>
          <w:szCs w:val="24"/>
          <w:lang w:val="en-US"/>
        </w:rPr>
      </w:pPr>
    </w:p>
    <w:p w14:paraId="3447CED9" w14:textId="77777777" w:rsidR="00E405FA" w:rsidRPr="00E377F3" w:rsidRDefault="00E405FA" w:rsidP="00E405FA">
      <w:pPr>
        <w:autoSpaceDE w:val="0"/>
        <w:autoSpaceDN w:val="0"/>
        <w:adjustRightInd w:val="0"/>
        <w:spacing w:after="0" w:line="480" w:lineRule="auto"/>
        <w:jc w:val="both"/>
        <w:rPr>
          <w:rFonts w:cs="Arial"/>
          <w:b/>
          <w:bCs/>
          <w:sz w:val="24"/>
          <w:szCs w:val="24"/>
          <w:lang w:val="en-US"/>
        </w:rPr>
      </w:pPr>
      <w:r w:rsidRPr="00E377F3">
        <w:rPr>
          <w:rFonts w:cs="Arial"/>
          <w:b/>
          <w:bCs/>
          <w:sz w:val="24"/>
          <w:szCs w:val="24"/>
          <w:lang w:val="en-US"/>
        </w:rPr>
        <w:tab/>
      </w:r>
      <w:r w:rsidRPr="00E377F3">
        <w:rPr>
          <w:rFonts w:cs="Arial"/>
          <w:b/>
          <w:bCs/>
          <w:sz w:val="24"/>
          <w:szCs w:val="24"/>
          <w:lang w:val="en-US"/>
        </w:rPr>
        <w:tab/>
        <w:t>P = B + (50% * (I - B)), si 10 &lt; NF ≤ 14</w:t>
      </w:r>
    </w:p>
    <w:p w14:paraId="41D7266F" w14:textId="77777777" w:rsidR="00E405FA" w:rsidRPr="00E377F3" w:rsidRDefault="00E405FA" w:rsidP="00E405FA">
      <w:pPr>
        <w:autoSpaceDE w:val="0"/>
        <w:autoSpaceDN w:val="0"/>
        <w:adjustRightInd w:val="0"/>
        <w:spacing w:after="0" w:line="480" w:lineRule="auto"/>
        <w:jc w:val="both"/>
        <w:rPr>
          <w:rFonts w:cs="Arial"/>
          <w:b/>
          <w:bCs/>
          <w:sz w:val="24"/>
          <w:szCs w:val="24"/>
          <w:lang w:val="en-US"/>
        </w:rPr>
      </w:pPr>
    </w:p>
    <w:p w14:paraId="75EA54BA" w14:textId="77777777" w:rsidR="00E405FA" w:rsidRPr="00E377F3" w:rsidRDefault="00E405FA" w:rsidP="00E405FA">
      <w:pPr>
        <w:autoSpaceDE w:val="0"/>
        <w:autoSpaceDN w:val="0"/>
        <w:adjustRightInd w:val="0"/>
        <w:spacing w:after="0" w:line="480" w:lineRule="auto"/>
        <w:jc w:val="both"/>
        <w:rPr>
          <w:rFonts w:cs="Arial"/>
          <w:b/>
          <w:bCs/>
          <w:sz w:val="24"/>
          <w:szCs w:val="24"/>
        </w:rPr>
      </w:pPr>
      <w:r w:rsidRPr="00E377F3">
        <w:rPr>
          <w:rFonts w:cs="Arial"/>
          <w:b/>
          <w:bCs/>
          <w:sz w:val="24"/>
          <w:szCs w:val="24"/>
          <w:lang w:val="en-US"/>
        </w:rPr>
        <w:tab/>
      </w:r>
      <w:r w:rsidRPr="00E377F3">
        <w:rPr>
          <w:rFonts w:cs="Arial"/>
          <w:b/>
          <w:bCs/>
          <w:sz w:val="24"/>
          <w:szCs w:val="24"/>
          <w:lang w:val="en-US"/>
        </w:rPr>
        <w:tab/>
      </w:r>
      <w:r w:rsidRPr="00E377F3">
        <w:rPr>
          <w:rFonts w:cs="Arial"/>
          <w:b/>
          <w:bCs/>
          <w:sz w:val="24"/>
          <w:szCs w:val="24"/>
        </w:rPr>
        <w:t>P = B + (75% * (I - B)), si 14 &lt; NF ≤ 17</w:t>
      </w:r>
    </w:p>
    <w:p w14:paraId="39C14CB2" w14:textId="77777777" w:rsidR="00E405FA" w:rsidRPr="00E377F3" w:rsidRDefault="00E405FA" w:rsidP="00E405FA">
      <w:pPr>
        <w:autoSpaceDE w:val="0"/>
        <w:autoSpaceDN w:val="0"/>
        <w:adjustRightInd w:val="0"/>
        <w:spacing w:after="0" w:line="480" w:lineRule="auto"/>
        <w:jc w:val="both"/>
        <w:rPr>
          <w:rFonts w:ascii="Times New Roman" w:hAnsi="Times New Roman" w:cs="Times New Roman"/>
          <w:sz w:val="24"/>
          <w:szCs w:val="24"/>
        </w:rPr>
      </w:pPr>
      <w:r w:rsidRPr="00E377F3">
        <w:rPr>
          <w:rFonts w:ascii="Times New Roman" w:hAnsi="Times New Roman" w:cs="Times New Roman"/>
          <w:bCs/>
          <w:sz w:val="24"/>
          <w:szCs w:val="24"/>
        </w:rPr>
        <w:t>D</w:t>
      </w:r>
      <w:r w:rsidRPr="00E377F3">
        <w:rPr>
          <w:rFonts w:ascii="Times New Roman" w:hAnsi="Times New Roman" w:cs="Times New Roman"/>
          <w:sz w:val="24"/>
          <w:szCs w:val="24"/>
        </w:rPr>
        <w:t>onde:</w:t>
      </w:r>
    </w:p>
    <w:p w14:paraId="47A81C82"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cs="Arial"/>
          <w:b/>
          <w:bCs/>
          <w:sz w:val="24"/>
          <w:szCs w:val="24"/>
        </w:rPr>
        <w:t>P =</w:t>
      </w:r>
      <w:r w:rsidRPr="00E377F3">
        <w:rPr>
          <w:rFonts w:ascii="Times New Roman" w:hAnsi="Times New Roman"/>
          <w:sz w:val="24"/>
          <w:szCs w:val="24"/>
        </w:rPr>
        <w:t xml:space="preserve"> Porcentaje máximo de aumento permitido para el ajuste anual del precio de alquiler de</w:t>
      </w:r>
    </w:p>
    <w:p w14:paraId="175A8AE2"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vivienda.</w:t>
      </w:r>
    </w:p>
    <w:p w14:paraId="078EC9E9"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cs="Arial"/>
          <w:b/>
          <w:bCs/>
          <w:sz w:val="24"/>
          <w:szCs w:val="24"/>
        </w:rPr>
        <w:t>B =</w:t>
      </w:r>
      <w:r w:rsidRPr="00E377F3">
        <w:rPr>
          <w:rFonts w:ascii="Times New Roman" w:hAnsi="Times New Roman"/>
          <w:sz w:val="24"/>
          <w:szCs w:val="24"/>
        </w:rPr>
        <w:t xml:space="preserve"> Tasa de inflación base (10%).</w:t>
      </w:r>
    </w:p>
    <w:p w14:paraId="0BE49FE7"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cs="Arial"/>
          <w:b/>
          <w:bCs/>
          <w:sz w:val="24"/>
          <w:szCs w:val="24"/>
        </w:rPr>
        <w:t>I =</w:t>
      </w:r>
      <w:r w:rsidRPr="00E377F3">
        <w:rPr>
          <w:rFonts w:ascii="Times New Roman" w:hAnsi="Times New Roman"/>
          <w:sz w:val="24"/>
          <w:szCs w:val="24"/>
        </w:rPr>
        <w:t xml:space="preserve"> Tasa de inflación acumulada de los doce meses anteriores al vencimiento de cada año</w:t>
      </w:r>
    </w:p>
    <w:p w14:paraId="5CD7137E"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del contrato.</w:t>
      </w:r>
    </w:p>
    <w:p w14:paraId="4213B9EA" w14:textId="77777777"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cs="Arial"/>
          <w:b/>
          <w:bCs/>
          <w:sz w:val="24"/>
          <w:szCs w:val="24"/>
        </w:rPr>
        <w:t>NF =</w:t>
      </w:r>
      <w:r w:rsidRPr="00E377F3">
        <w:rPr>
          <w:rFonts w:ascii="Times New Roman" w:hAnsi="Times New Roman"/>
          <w:sz w:val="24"/>
          <w:szCs w:val="24"/>
        </w:rPr>
        <w:t xml:space="preserve"> Nota final resultante de la sumatoria de los puntos obtenidos en la valoración de las</w:t>
      </w:r>
    </w:p>
    <w:p w14:paraId="09D02A7E" w14:textId="13CD47EC" w:rsidR="00E405FA" w:rsidRPr="00E377F3" w:rsidRDefault="00E405FA" w:rsidP="00E405FA">
      <w:pPr>
        <w:autoSpaceDE w:val="0"/>
        <w:autoSpaceDN w:val="0"/>
        <w:adjustRightInd w:val="0"/>
        <w:spacing w:after="0" w:line="480" w:lineRule="auto"/>
        <w:jc w:val="both"/>
        <w:rPr>
          <w:rFonts w:ascii="Times New Roman" w:hAnsi="Times New Roman"/>
          <w:sz w:val="24"/>
          <w:szCs w:val="24"/>
        </w:rPr>
      </w:pPr>
      <w:r w:rsidRPr="00E377F3">
        <w:rPr>
          <w:rFonts w:ascii="Times New Roman" w:hAnsi="Times New Roman"/>
          <w:sz w:val="24"/>
          <w:szCs w:val="24"/>
        </w:rPr>
        <w:t>variables consideradas.</w:t>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r w:rsidR="004D278D" w:rsidRPr="00E377F3">
        <w:rPr>
          <w:rFonts w:ascii="Times New Roman" w:hAnsi="Times New Roman"/>
          <w:sz w:val="24"/>
          <w:szCs w:val="24"/>
        </w:rPr>
        <w:tab/>
      </w:r>
    </w:p>
    <w:p w14:paraId="11FAC725" w14:textId="43947834" w:rsidR="00E65D99" w:rsidRPr="00E377F3" w:rsidRDefault="00E65D99" w:rsidP="005D176E">
      <w:pPr>
        <w:pStyle w:val="Prrafodelista"/>
        <w:spacing w:line="480" w:lineRule="auto"/>
        <w:ind w:left="0"/>
        <w:jc w:val="both"/>
        <w:rPr>
          <w:rFonts w:ascii="Times New Roman" w:hAnsi="Times New Roman" w:cs="Times New Roman"/>
          <w:sz w:val="24"/>
          <w:szCs w:val="24"/>
        </w:rPr>
      </w:pPr>
      <w:r w:rsidRPr="00E377F3">
        <w:rPr>
          <w:rFonts w:ascii="Times New Roman" w:hAnsi="Times New Roman" w:cs="Times New Roman"/>
          <w:sz w:val="24"/>
          <w:szCs w:val="24"/>
        </w:rPr>
        <w:lastRenderedPageBreak/>
        <w:t xml:space="preserve">Artículo </w:t>
      </w:r>
      <w:r w:rsidR="00D93CB1">
        <w:rPr>
          <w:rFonts w:ascii="Times New Roman" w:hAnsi="Times New Roman" w:cs="Times New Roman"/>
          <w:sz w:val="24"/>
          <w:szCs w:val="24"/>
        </w:rPr>
        <w:t>6</w:t>
      </w:r>
      <w:r w:rsidR="004D278D" w:rsidRPr="00E377F3">
        <w:rPr>
          <w:rFonts w:ascii="Times New Roman" w:hAnsi="Times New Roman" w:cs="Times New Roman"/>
          <w:sz w:val="24"/>
          <w:szCs w:val="24"/>
        </w:rPr>
        <w:t xml:space="preserve">. ─ </w:t>
      </w:r>
      <w:r w:rsidRPr="00E377F3">
        <w:rPr>
          <w:rFonts w:ascii="Times New Roman" w:hAnsi="Times New Roman" w:cs="Times New Roman"/>
          <w:sz w:val="24"/>
          <w:szCs w:val="24"/>
        </w:rPr>
        <w:t xml:space="preserve">Publicación del ajuste aprobado. </w:t>
      </w:r>
      <w:r w:rsidR="00493FF6" w:rsidRPr="00E377F3">
        <w:rPr>
          <w:rFonts w:ascii="Times New Roman" w:hAnsi="Times New Roman" w:cs="Times New Roman"/>
          <w:sz w:val="24"/>
          <w:szCs w:val="24"/>
        </w:rPr>
        <w:t>El Ministerio de Vivienda y Asentamientos Humanos</w:t>
      </w:r>
      <w:r w:rsidR="002378F6">
        <w:rPr>
          <w:rFonts w:ascii="Times New Roman" w:hAnsi="Times New Roman" w:cs="Times New Roman"/>
          <w:sz w:val="24"/>
          <w:szCs w:val="24"/>
        </w:rPr>
        <w:t>,</w:t>
      </w:r>
      <w:r w:rsidR="00493FF6" w:rsidRPr="00E377F3">
        <w:rPr>
          <w:rFonts w:ascii="Times New Roman" w:hAnsi="Times New Roman" w:cs="Times New Roman"/>
          <w:sz w:val="24"/>
          <w:szCs w:val="24"/>
        </w:rPr>
        <w:t xml:space="preserve"> en atención a las disposiciones del inciso b) del artículo 67 de la Ley General de Arrendamientos Urbanos y Suburbanos, Ley Nº7527 de 10 de julio de 1995 y sus reformas,   publicará</w:t>
      </w:r>
      <w:r w:rsidR="003613FF" w:rsidRPr="00E377F3">
        <w:rPr>
          <w:rFonts w:ascii="Times New Roman" w:hAnsi="Times New Roman" w:cs="Times New Roman"/>
          <w:sz w:val="24"/>
          <w:szCs w:val="24"/>
        </w:rPr>
        <w:t>,</w:t>
      </w:r>
      <w:r w:rsidR="00493FF6" w:rsidRPr="00E377F3">
        <w:rPr>
          <w:rFonts w:ascii="Times New Roman" w:hAnsi="Times New Roman" w:cs="Times New Roman"/>
          <w:sz w:val="24"/>
          <w:szCs w:val="24"/>
        </w:rPr>
        <w:t xml:space="preserve"> </w:t>
      </w:r>
      <w:r w:rsidR="0075036B" w:rsidRPr="00E377F3">
        <w:rPr>
          <w:rFonts w:ascii="Times New Roman" w:hAnsi="Times New Roman" w:cs="Times New Roman"/>
          <w:sz w:val="24"/>
          <w:szCs w:val="24"/>
        </w:rPr>
        <w:t>a más tardar</w:t>
      </w:r>
      <w:r w:rsidR="003613FF" w:rsidRPr="00E377F3">
        <w:rPr>
          <w:rFonts w:ascii="Times New Roman" w:hAnsi="Times New Roman" w:cs="Times New Roman"/>
          <w:sz w:val="24"/>
          <w:szCs w:val="24"/>
        </w:rPr>
        <w:t>,</w:t>
      </w:r>
      <w:r w:rsidR="0075036B" w:rsidRPr="00E377F3">
        <w:rPr>
          <w:rFonts w:ascii="Times New Roman" w:hAnsi="Times New Roman" w:cs="Times New Roman"/>
          <w:sz w:val="24"/>
          <w:szCs w:val="24"/>
        </w:rPr>
        <w:t xml:space="preserve"> al día 15 de cada mes, </w:t>
      </w:r>
      <w:r w:rsidR="00493FF6" w:rsidRPr="00E377F3">
        <w:rPr>
          <w:rFonts w:ascii="Times New Roman" w:hAnsi="Times New Roman" w:cs="Times New Roman"/>
          <w:sz w:val="24"/>
          <w:szCs w:val="24"/>
        </w:rPr>
        <w:t>e</w:t>
      </w:r>
      <w:r w:rsidRPr="00E377F3">
        <w:rPr>
          <w:rFonts w:ascii="Times New Roman" w:hAnsi="Times New Roman" w:cs="Times New Roman"/>
          <w:sz w:val="24"/>
          <w:szCs w:val="24"/>
        </w:rPr>
        <w:t xml:space="preserve">n </w:t>
      </w:r>
      <w:r w:rsidR="00362029" w:rsidRPr="00E377F3">
        <w:rPr>
          <w:rFonts w:ascii="Times New Roman" w:hAnsi="Times New Roman" w:cs="Times New Roman"/>
          <w:sz w:val="24"/>
          <w:szCs w:val="24"/>
        </w:rPr>
        <w:t xml:space="preserve">su </w:t>
      </w:r>
      <w:r w:rsidRPr="00E377F3">
        <w:rPr>
          <w:rFonts w:ascii="Times New Roman" w:hAnsi="Times New Roman" w:cs="Times New Roman"/>
          <w:sz w:val="24"/>
          <w:szCs w:val="24"/>
        </w:rPr>
        <w:t>página web www.mivah.go.cr</w:t>
      </w:r>
      <w:r w:rsidR="0075036B" w:rsidRPr="00E377F3">
        <w:rPr>
          <w:rFonts w:ascii="Times New Roman" w:hAnsi="Times New Roman" w:cs="Times New Roman"/>
          <w:sz w:val="24"/>
          <w:szCs w:val="24"/>
        </w:rPr>
        <w:t>,</w:t>
      </w:r>
      <w:r w:rsidRPr="00E377F3">
        <w:rPr>
          <w:rFonts w:ascii="Times New Roman" w:hAnsi="Times New Roman" w:cs="Times New Roman"/>
          <w:sz w:val="24"/>
          <w:szCs w:val="24"/>
        </w:rPr>
        <w:t xml:space="preserve"> el </w:t>
      </w:r>
      <w:r w:rsidR="00AD1F52" w:rsidRPr="00E377F3">
        <w:rPr>
          <w:rFonts w:ascii="Times New Roman" w:hAnsi="Times New Roman" w:cs="Times New Roman"/>
          <w:sz w:val="24"/>
          <w:szCs w:val="24"/>
        </w:rPr>
        <w:t>porcentaje</w:t>
      </w:r>
      <w:r w:rsidR="003613FF" w:rsidRPr="00E377F3">
        <w:rPr>
          <w:rFonts w:ascii="Times New Roman" w:hAnsi="Times New Roman" w:cs="Times New Roman"/>
          <w:sz w:val="24"/>
          <w:szCs w:val="24"/>
        </w:rPr>
        <w:t xml:space="preserve"> máximo de ajuste,</w:t>
      </w:r>
      <w:r w:rsidR="00AD1F52" w:rsidRPr="00E377F3">
        <w:rPr>
          <w:rFonts w:ascii="Times New Roman" w:hAnsi="Times New Roman" w:cs="Times New Roman"/>
          <w:sz w:val="24"/>
          <w:szCs w:val="24"/>
        </w:rPr>
        <w:t xml:space="preserve"> indicado en el presente reglamento</w:t>
      </w:r>
      <w:r w:rsidR="003613FF" w:rsidRPr="00E377F3">
        <w:rPr>
          <w:rFonts w:ascii="Times New Roman" w:hAnsi="Times New Roman" w:cs="Times New Roman"/>
          <w:sz w:val="24"/>
          <w:szCs w:val="24"/>
        </w:rPr>
        <w:t>,</w:t>
      </w:r>
      <w:r w:rsidR="00AD1F52" w:rsidRPr="00E377F3">
        <w:rPr>
          <w:rFonts w:ascii="Times New Roman" w:hAnsi="Times New Roman" w:cs="Times New Roman"/>
          <w:sz w:val="24"/>
          <w:szCs w:val="24"/>
        </w:rPr>
        <w:t xml:space="preserve"> que se aplicará</w:t>
      </w:r>
      <w:r w:rsidR="00493FF6" w:rsidRPr="00E377F3">
        <w:rPr>
          <w:rFonts w:ascii="Times New Roman" w:hAnsi="Times New Roman" w:cs="Times New Roman"/>
          <w:sz w:val="24"/>
          <w:szCs w:val="24"/>
        </w:rPr>
        <w:t xml:space="preserve"> </w:t>
      </w:r>
      <w:r w:rsidR="00AD1F52" w:rsidRPr="00E377F3">
        <w:rPr>
          <w:rFonts w:ascii="Times New Roman" w:hAnsi="Times New Roman" w:cs="Times New Roman"/>
          <w:sz w:val="24"/>
          <w:szCs w:val="24"/>
        </w:rPr>
        <w:t xml:space="preserve">al mes </w:t>
      </w:r>
      <w:r w:rsidR="00362029" w:rsidRPr="00E377F3">
        <w:rPr>
          <w:rFonts w:ascii="Times New Roman" w:hAnsi="Times New Roman" w:cs="Times New Roman"/>
          <w:sz w:val="24"/>
          <w:szCs w:val="24"/>
        </w:rPr>
        <w:t xml:space="preserve">respectivo </w:t>
      </w:r>
      <w:r w:rsidR="00AD1F52" w:rsidRPr="00E377F3">
        <w:rPr>
          <w:rFonts w:ascii="Times New Roman" w:hAnsi="Times New Roman" w:cs="Times New Roman"/>
          <w:sz w:val="24"/>
          <w:szCs w:val="24"/>
        </w:rPr>
        <w:t>de emi</w:t>
      </w:r>
      <w:r w:rsidR="00362029" w:rsidRPr="00E377F3">
        <w:rPr>
          <w:rFonts w:ascii="Times New Roman" w:hAnsi="Times New Roman" w:cs="Times New Roman"/>
          <w:sz w:val="24"/>
          <w:szCs w:val="24"/>
        </w:rPr>
        <w:t xml:space="preserve">tido </w:t>
      </w:r>
      <w:r w:rsidR="00AD1F52" w:rsidRPr="00E377F3">
        <w:rPr>
          <w:rFonts w:ascii="Times New Roman" w:hAnsi="Times New Roman" w:cs="Times New Roman"/>
          <w:sz w:val="24"/>
          <w:szCs w:val="24"/>
        </w:rPr>
        <w:t>el índice de precios interanual por parte del Instituto Nacional de Estadística y Censos</w:t>
      </w:r>
      <w:r w:rsidR="006C4979" w:rsidRPr="00E377F3">
        <w:rPr>
          <w:rFonts w:ascii="Times New Roman" w:hAnsi="Times New Roman" w:cs="Times New Roman"/>
          <w:sz w:val="24"/>
          <w:szCs w:val="24"/>
        </w:rPr>
        <w:t>,</w:t>
      </w:r>
      <w:r w:rsidR="00AD1F52" w:rsidRPr="00E377F3">
        <w:rPr>
          <w:rFonts w:ascii="Times New Roman" w:hAnsi="Times New Roman" w:cs="Times New Roman"/>
          <w:sz w:val="24"/>
          <w:szCs w:val="24"/>
        </w:rPr>
        <w:t xml:space="preserve"> una vez revisados los factores corre</w:t>
      </w:r>
      <w:r w:rsidR="00A44651" w:rsidRPr="00E377F3">
        <w:rPr>
          <w:rFonts w:ascii="Times New Roman" w:hAnsi="Times New Roman" w:cs="Times New Roman"/>
          <w:sz w:val="24"/>
          <w:szCs w:val="24"/>
        </w:rPr>
        <w:t xml:space="preserve">spondientes. </w:t>
      </w:r>
    </w:p>
    <w:p w14:paraId="5CB67FBA" w14:textId="77777777" w:rsidR="00A44651" w:rsidRPr="00E377F3" w:rsidRDefault="00A44651" w:rsidP="005D176E">
      <w:pPr>
        <w:pStyle w:val="Prrafodelista"/>
        <w:spacing w:line="480" w:lineRule="auto"/>
        <w:ind w:left="0"/>
        <w:jc w:val="both"/>
        <w:rPr>
          <w:rFonts w:ascii="Times New Roman" w:hAnsi="Times New Roman" w:cs="Times New Roman"/>
          <w:bCs/>
          <w:sz w:val="24"/>
          <w:szCs w:val="24"/>
        </w:rPr>
      </w:pPr>
    </w:p>
    <w:p w14:paraId="604EDFA1" w14:textId="5EB79E40" w:rsidR="005D176E" w:rsidRPr="00E377F3" w:rsidRDefault="00A44651" w:rsidP="005D176E">
      <w:pPr>
        <w:pStyle w:val="Prrafodelista"/>
        <w:spacing w:line="480" w:lineRule="auto"/>
        <w:ind w:left="0"/>
        <w:jc w:val="both"/>
        <w:rPr>
          <w:rFonts w:ascii="Times New Roman" w:hAnsi="Times New Roman" w:cs="Times New Roman"/>
          <w:sz w:val="24"/>
          <w:szCs w:val="24"/>
        </w:rPr>
      </w:pPr>
      <w:r w:rsidRPr="00E377F3">
        <w:rPr>
          <w:rFonts w:ascii="Times New Roman" w:hAnsi="Times New Roman" w:cs="Times New Roman"/>
          <w:bCs/>
          <w:sz w:val="24"/>
          <w:szCs w:val="24"/>
        </w:rPr>
        <w:t xml:space="preserve">Artículo </w:t>
      </w:r>
      <w:r w:rsidR="00D93CB1">
        <w:rPr>
          <w:rFonts w:ascii="Times New Roman" w:hAnsi="Times New Roman" w:cs="Times New Roman"/>
          <w:bCs/>
          <w:sz w:val="24"/>
          <w:szCs w:val="24"/>
        </w:rPr>
        <w:t>7</w:t>
      </w:r>
      <w:r w:rsidR="00106E7B" w:rsidRPr="00E377F3">
        <w:rPr>
          <w:rFonts w:ascii="Times New Roman" w:hAnsi="Times New Roman" w:cs="Times New Roman"/>
          <w:bCs/>
          <w:sz w:val="24"/>
          <w:szCs w:val="24"/>
        </w:rPr>
        <w:t>. ─</w:t>
      </w:r>
      <w:r w:rsidR="005D176E" w:rsidRPr="00E377F3">
        <w:rPr>
          <w:rFonts w:ascii="Times New Roman" w:hAnsi="Times New Roman" w:cs="Times New Roman"/>
          <w:bCs/>
          <w:sz w:val="24"/>
          <w:szCs w:val="24"/>
        </w:rPr>
        <w:t xml:space="preserve">Vigencia. </w:t>
      </w:r>
      <w:r w:rsidR="00876179" w:rsidRPr="00E377F3">
        <w:rPr>
          <w:rFonts w:ascii="Times New Roman" w:hAnsi="Times New Roman" w:cs="Times New Roman"/>
          <w:bCs/>
          <w:sz w:val="24"/>
          <w:szCs w:val="24"/>
        </w:rPr>
        <w:t>R</w:t>
      </w:r>
      <w:r w:rsidR="005D176E" w:rsidRPr="00E377F3">
        <w:rPr>
          <w:rFonts w:ascii="Times New Roman" w:hAnsi="Times New Roman" w:cs="Times New Roman"/>
          <w:sz w:val="24"/>
          <w:szCs w:val="24"/>
        </w:rPr>
        <w:t>ige a partir de su publicación</w:t>
      </w:r>
      <w:r w:rsidR="00EB2CE6" w:rsidRPr="00E377F3">
        <w:rPr>
          <w:rFonts w:ascii="Times New Roman" w:hAnsi="Times New Roman" w:cs="Times New Roman"/>
          <w:sz w:val="24"/>
          <w:szCs w:val="24"/>
        </w:rPr>
        <w:t>.</w:t>
      </w:r>
    </w:p>
    <w:p w14:paraId="5F1148C6" w14:textId="77777777" w:rsidR="00EB2CE6" w:rsidRPr="00E377F3" w:rsidRDefault="00EB2CE6" w:rsidP="005D176E">
      <w:pPr>
        <w:pStyle w:val="Prrafodelista"/>
        <w:spacing w:line="480" w:lineRule="auto"/>
        <w:ind w:left="0"/>
        <w:jc w:val="both"/>
        <w:rPr>
          <w:rFonts w:ascii="Times New Roman" w:hAnsi="Times New Roman" w:cs="Times New Roman"/>
          <w:sz w:val="24"/>
          <w:szCs w:val="24"/>
        </w:rPr>
      </w:pPr>
    </w:p>
    <w:p w14:paraId="31A3E99D" w14:textId="77777777" w:rsidR="005D176E" w:rsidRPr="00E377F3" w:rsidRDefault="005D176E" w:rsidP="005D176E">
      <w:pPr>
        <w:pStyle w:val="Prrafodelista"/>
        <w:spacing w:line="480" w:lineRule="auto"/>
        <w:ind w:left="0"/>
        <w:jc w:val="both"/>
        <w:rPr>
          <w:rFonts w:ascii="Times New Roman" w:hAnsi="Times New Roman" w:cs="Times New Roman"/>
          <w:sz w:val="24"/>
          <w:szCs w:val="24"/>
        </w:rPr>
      </w:pPr>
      <w:r w:rsidRPr="00E377F3">
        <w:rPr>
          <w:rFonts w:ascii="Times New Roman" w:hAnsi="Times New Roman" w:cs="Times New Roman"/>
          <w:sz w:val="24"/>
          <w:szCs w:val="24"/>
        </w:rPr>
        <w:t>Dado en la Presidencia de la República. - San José a los ____ días del mes de ____ de dos</w:t>
      </w:r>
    </w:p>
    <w:p w14:paraId="78460A5E" w14:textId="6172A8F2" w:rsidR="005D176E" w:rsidRPr="00E377F3" w:rsidRDefault="005D176E" w:rsidP="005D176E">
      <w:pPr>
        <w:rPr>
          <w:rFonts w:ascii="TimesNewRomanPSMT" w:hAnsi="TimesNewRomanPSMT" w:cs="TimesNewRomanPSMT"/>
          <w:sz w:val="24"/>
          <w:szCs w:val="24"/>
        </w:rPr>
      </w:pPr>
      <w:r w:rsidRPr="00E377F3">
        <w:rPr>
          <w:rFonts w:ascii="Times New Roman" w:hAnsi="Times New Roman" w:cs="Times New Roman"/>
          <w:sz w:val="24"/>
          <w:szCs w:val="24"/>
        </w:rPr>
        <w:t>mil _______</w:t>
      </w:r>
      <w:r w:rsidRPr="00E377F3">
        <w:rPr>
          <w:rFonts w:ascii="TimesNewRomanPSMT" w:hAnsi="TimesNewRomanPSMT" w:cs="TimesNewRomanPSMT"/>
          <w:sz w:val="24"/>
          <w:szCs w:val="24"/>
        </w:rPr>
        <w:t>.</w:t>
      </w:r>
    </w:p>
    <w:p w14:paraId="4A9E70AC" w14:textId="77777777" w:rsidR="00B55E40" w:rsidRPr="00E377F3" w:rsidRDefault="00B55E40" w:rsidP="005D176E">
      <w:pPr>
        <w:rPr>
          <w:rFonts w:ascii="TimesNewRomanPSMT" w:hAnsi="TimesNewRomanPSMT" w:cs="TimesNewRomanPSMT"/>
          <w:sz w:val="24"/>
          <w:szCs w:val="24"/>
        </w:rPr>
      </w:pPr>
    </w:p>
    <w:p w14:paraId="3E3A9427" w14:textId="55A3BB2A" w:rsidR="0041392E" w:rsidRPr="00E377F3" w:rsidRDefault="0041392E" w:rsidP="005D176E">
      <w:pPr>
        <w:rPr>
          <w:rFonts w:ascii="TimesNewRomanPSMT" w:hAnsi="TimesNewRomanPSMT" w:cs="TimesNewRomanPSMT"/>
          <w:sz w:val="24"/>
          <w:szCs w:val="24"/>
        </w:rPr>
      </w:pPr>
    </w:p>
    <w:p w14:paraId="141B887F" w14:textId="77777777" w:rsidR="00BD25C2" w:rsidRPr="00E377F3" w:rsidRDefault="00BD25C2" w:rsidP="00BD25C2">
      <w:pPr>
        <w:spacing w:line="360" w:lineRule="auto"/>
        <w:jc w:val="center"/>
        <w:rPr>
          <w:rFonts w:ascii="Times New Roman" w:hAnsi="Times New Roman" w:cs="Times New Roman"/>
          <w:b/>
          <w:bCs/>
          <w:color w:val="000000" w:themeColor="text1"/>
          <w:sz w:val="24"/>
          <w:szCs w:val="24"/>
          <w:lang w:val="es-ES"/>
        </w:rPr>
      </w:pPr>
      <w:r w:rsidRPr="00E377F3">
        <w:rPr>
          <w:rFonts w:ascii="Times New Roman" w:hAnsi="Times New Roman" w:cs="Times New Roman"/>
          <w:b/>
          <w:bCs/>
          <w:color w:val="000000" w:themeColor="text1"/>
          <w:sz w:val="24"/>
          <w:szCs w:val="24"/>
          <w:lang w:val="es-ES"/>
        </w:rPr>
        <w:t>CARLOS ANDRÉS ALVARADO QUESADA</w:t>
      </w:r>
    </w:p>
    <w:p w14:paraId="209FDE69" w14:textId="3B554C21" w:rsidR="00D00FA3" w:rsidRPr="00E377F3" w:rsidRDefault="00D00FA3" w:rsidP="00BD25C2">
      <w:pPr>
        <w:tabs>
          <w:tab w:val="left" w:pos="1560"/>
        </w:tabs>
        <w:spacing w:line="360" w:lineRule="auto"/>
        <w:jc w:val="both"/>
        <w:rPr>
          <w:rFonts w:ascii="Times New Roman" w:hAnsi="Times New Roman" w:cs="Times New Roman"/>
          <w:color w:val="000000" w:themeColor="text1"/>
          <w:sz w:val="24"/>
          <w:szCs w:val="24"/>
          <w:lang w:val="es-ES"/>
        </w:rPr>
      </w:pPr>
    </w:p>
    <w:p w14:paraId="52565911" w14:textId="77777777" w:rsidR="00B55E40" w:rsidRPr="00E377F3" w:rsidRDefault="00B55E40" w:rsidP="00BD25C2">
      <w:pPr>
        <w:tabs>
          <w:tab w:val="left" w:pos="1560"/>
        </w:tabs>
        <w:spacing w:line="360" w:lineRule="auto"/>
        <w:jc w:val="both"/>
        <w:rPr>
          <w:rFonts w:ascii="Times New Roman" w:hAnsi="Times New Roman" w:cs="Times New Roman"/>
          <w:color w:val="000000" w:themeColor="text1"/>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387"/>
      </w:tblGrid>
      <w:tr w:rsidR="00BD25C2" w:rsidRPr="00E377F3" w14:paraId="7137C985" w14:textId="77777777" w:rsidTr="00C960CC">
        <w:tc>
          <w:tcPr>
            <w:tcW w:w="4675" w:type="dxa"/>
          </w:tcPr>
          <w:p w14:paraId="4F6A4E6D" w14:textId="77777777" w:rsidR="00BD25C2" w:rsidRPr="00E377F3" w:rsidRDefault="00BD25C2" w:rsidP="00C960CC">
            <w:pPr>
              <w:tabs>
                <w:tab w:val="left" w:pos="1560"/>
              </w:tabs>
              <w:spacing w:line="360" w:lineRule="auto"/>
              <w:jc w:val="center"/>
              <w:rPr>
                <w:rFonts w:ascii="Times New Roman" w:hAnsi="Times New Roman" w:cs="Times New Roman"/>
                <w:color w:val="000000" w:themeColor="text1"/>
                <w:sz w:val="24"/>
                <w:szCs w:val="24"/>
                <w:lang w:val="es-ES"/>
              </w:rPr>
            </w:pPr>
            <w:r w:rsidRPr="00E377F3">
              <w:rPr>
                <w:rFonts w:ascii="Times New Roman" w:hAnsi="Times New Roman" w:cs="Times New Roman"/>
                <w:color w:val="000000" w:themeColor="text1"/>
                <w:sz w:val="24"/>
                <w:szCs w:val="24"/>
                <w:lang w:val="es-ES"/>
              </w:rPr>
              <w:t>Irene Campos Gómez</w:t>
            </w:r>
          </w:p>
          <w:p w14:paraId="53207B74" w14:textId="4BEF1756" w:rsidR="00BD25C2" w:rsidRPr="00E377F3" w:rsidRDefault="00BD25C2" w:rsidP="00B930AE">
            <w:pPr>
              <w:tabs>
                <w:tab w:val="left" w:pos="1560"/>
              </w:tabs>
              <w:spacing w:line="360" w:lineRule="auto"/>
              <w:jc w:val="center"/>
              <w:rPr>
                <w:rFonts w:ascii="Times New Roman" w:hAnsi="Times New Roman" w:cs="Times New Roman"/>
                <w:b/>
                <w:bCs/>
                <w:color w:val="000000" w:themeColor="text1"/>
                <w:sz w:val="24"/>
                <w:szCs w:val="24"/>
                <w:lang w:val="es-ES"/>
              </w:rPr>
            </w:pPr>
            <w:r w:rsidRPr="00E377F3">
              <w:rPr>
                <w:rFonts w:ascii="Times New Roman" w:hAnsi="Times New Roman" w:cs="Times New Roman"/>
                <w:b/>
                <w:bCs/>
                <w:color w:val="000000" w:themeColor="text1"/>
                <w:sz w:val="24"/>
                <w:szCs w:val="24"/>
                <w:lang w:val="es-ES"/>
              </w:rPr>
              <w:t>MINISTRA DE VIVIENDA Y ASENTAMIENTOS HUMANOS</w:t>
            </w:r>
          </w:p>
        </w:tc>
        <w:tc>
          <w:tcPr>
            <w:tcW w:w="4675" w:type="dxa"/>
          </w:tcPr>
          <w:p w14:paraId="202CE25D" w14:textId="77777777" w:rsidR="00BD25C2" w:rsidRPr="00E377F3" w:rsidRDefault="00BD25C2" w:rsidP="00C960CC">
            <w:pPr>
              <w:tabs>
                <w:tab w:val="left" w:pos="1560"/>
              </w:tabs>
              <w:spacing w:line="360" w:lineRule="auto"/>
              <w:jc w:val="center"/>
              <w:rPr>
                <w:rFonts w:ascii="Times New Roman" w:hAnsi="Times New Roman" w:cs="Times New Roman"/>
                <w:color w:val="000000" w:themeColor="text1"/>
                <w:sz w:val="24"/>
                <w:szCs w:val="24"/>
                <w:lang w:val="es-ES"/>
              </w:rPr>
            </w:pPr>
            <w:r w:rsidRPr="00E377F3">
              <w:rPr>
                <w:rFonts w:ascii="Times New Roman" w:hAnsi="Times New Roman" w:cs="Times New Roman"/>
                <w:color w:val="000000" w:themeColor="text1"/>
                <w:sz w:val="24"/>
                <w:szCs w:val="24"/>
                <w:lang w:val="es-ES"/>
              </w:rPr>
              <w:t>Victoria Hernández Mora</w:t>
            </w:r>
          </w:p>
          <w:p w14:paraId="74F4DFBA" w14:textId="77777777" w:rsidR="00BD25C2" w:rsidRPr="00E377F3" w:rsidRDefault="00BD25C2" w:rsidP="00C960CC">
            <w:pPr>
              <w:tabs>
                <w:tab w:val="left" w:pos="1560"/>
              </w:tabs>
              <w:spacing w:line="360" w:lineRule="auto"/>
              <w:jc w:val="center"/>
              <w:rPr>
                <w:rFonts w:ascii="Times New Roman" w:hAnsi="Times New Roman" w:cs="Times New Roman"/>
                <w:color w:val="000000" w:themeColor="text1"/>
                <w:sz w:val="24"/>
                <w:szCs w:val="24"/>
                <w:lang w:val="es-ES"/>
              </w:rPr>
            </w:pPr>
            <w:r w:rsidRPr="00E377F3">
              <w:rPr>
                <w:rFonts w:ascii="Times New Roman" w:hAnsi="Times New Roman" w:cs="Times New Roman"/>
                <w:b/>
                <w:bCs/>
                <w:color w:val="000000" w:themeColor="text1"/>
                <w:sz w:val="24"/>
                <w:szCs w:val="24"/>
                <w:lang w:val="es-ES"/>
              </w:rPr>
              <w:t>MINISTRA DE ECONOMÍA, INDUSTRIA Y COMERCIO</w:t>
            </w:r>
          </w:p>
        </w:tc>
      </w:tr>
      <w:tr w:rsidR="00B930AE" w:rsidRPr="00E377F3" w14:paraId="042813C8" w14:textId="77777777" w:rsidTr="00C960CC">
        <w:tc>
          <w:tcPr>
            <w:tcW w:w="4675" w:type="dxa"/>
          </w:tcPr>
          <w:p w14:paraId="6203A8DE" w14:textId="77777777" w:rsidR="00B930AE" w:rsidRPr="00E377F3" w:rsidRDefault="00B930AE" w:rsidP="00B930AE">
            <w:pPr>
              <w:tabs>
                <w:tab w:val="left" w:pos="1560"/>
              </w:tabs>
              <w:spacing w:line="360" w:lineRule="auto"/>
              <w:rPr>
                <w:rFonts w:ascii="Times New Roman" w:hAnsi="Times New Roman" w:cs="Times New Roman"/>
                <w:color w:val="000000" w:themeColor="text1"/>
                <w:sz w:val="24"/>
                <w:szCs w:val="24"/>
                <w:lang w:val="es-ES"/>
              </w:rPr>
            </w:pPr>
          </w:p>
          <w:p w14:paraId="54C8093C" w14:textId="77777777" w:rsidR="003613FF" w:rsidRPr="00E377F3" w:rsidRDefault="003613FF" w:rsidP="00B930AE">
            <w:pPr>
              <w:tabs>
                <w:tab w:val="left" w:pos="1560"/>
              </w:tabs>
              <w:spacing w:line="360" w:lineRule="auto"/>
              <w:rPr>
                <w:rFonts w:ascii="Times New Roman" w:hAnsi="Times New Roman" w:cs="Times New Roman"/>
                <w:color w:val="000000" w:themeColor="text1"/>
                <w:sz w:val="24"/>
                <w:szCs w:val="24"/>
                <w:lang w:val="es-ES"/>
              </w:rPr>
            </w:pPr>
          </w:p>
          <w:p w14:paraId="27A3E006" w14:textId="77777777" w:rsidR="003613FF" w:rsidRPr="00E377F3" w:rsidRDefault="003613FF" w:rsidP="00B930AE">
            <w:pPr>
              <w:tabs>
                <w:tab w:val="left" w:pos="1560"/>
              </w:tabs>
              <w:spacing w:line="360" w:lineRule="auto"/>
              <w:rPr>
                <w:rFonts w:ascii="Times New Roman" w:hAnsi="Times New Roman" w:cs="Times New Roman"/>
                <w:color w:val="000000" w:themeColor="text1"/>
                <w:sz w:val="24"/>
                <w:szCs w:val="24"/>
                <w:lang w:val="es-ES"/>
              </w:rPr>
            </w:pPr>
          </w:p>
          <w:p w14:paraId="60BB32C3" w14:textId="77777777" w:rsidR="003613FF" w:rsidRPr="00E377F3" w:rsidRDefault="003613FF" w:rsidP="00B930AE">
            <w:pPr>
              <w:tabs>
                <w:tab w:val="left" w:pos="1560"/>
              </w:tabs>
              <w:spacing w:line="360" w:lineRule="auto"/>
              <w:rPr>
                <w:rFonts w:ascii="Times New Roman" w:hAnsi="Times New Roman" w:cs="Times New Roman"/>
                <w:color w:val="000000" w:themeColor="text1"/>
                <w:sz w:val="24"/>
                <w:szCs w:val="24"/>
                <w:lang w:val="es-ES"/>
              </w:rPr>
            </w:pPr>
          </w:p>
          <w:p w14:paraId="2E4A4203" w14:textId="77777777" w:rsidR="003613FF" w:rsidRPr="00E377F3" w:rsidRDefault="003613FF" w:rsidP="00B930AE">
            <w:pPr>
              <w:tabs>
                <w:tab w:val="left" w:pos="1560"/>
              </w:tabs>
              <w:spacing w:line="360" w:lineRule="auto"/>
              <w:rPr>
                <w:rFonts w:ascii="Times New Roman" w:hAnsi="Times New Roman" w:cs="Times New Roman"/>
                <w:color w:val="000000" w:themeColor="text1"/>
                <w:sz w:val="24"/>
                <w:szCs w:val="24"/>
                <w:lang w:val="es-ES"/>
              </w:rPr>
            </w:pPr>
          </w:p>
          <w:p w14:paraId="2CCCC7AC" w14:textId="2E695698" w:rsidR="003613FF" w:rsidRPr="00E377F3" w:rsidRDefault="003613FF" w:rsidP="00B930AE">
            <w:pPr>
              <w:tabs>
                <w:tab w:val="left" w:pos="1560"/>
              </w:tabs>
              <w:spacing w:line="360" w:lineRule="auto"/>
              <w:rPr>
                <w:rFonts w:ascii="Times New Roman" w:hAnsi="Times New Roman" w:cs="Times New Roman"/>
                <w:color w:val="000000" w:themeColor="text1"/>
                <w:sz w:val="24"/>
                <w:szCs w:val="24"/>
                <w:lang w:val="es-ES"/>
              </w:rPr>
            </w:pPr>
          </w:p>
        </w:tc>
        <w:tc>
          <w:tcPr>
            <w:tcW w:w="4675" w:type="dxa"/>
          </w:tcPr>
          <w:p w14:paraId="4714CDCD" w14:textId="77777777" w:rsidR="00B930AE" w:rsidRPr="00E377F3" w:rsidRDefault="00B930AE" w:rsidP="00C960CC">
            <w:pPr>
              <w:tabs>
                <w:tab w:val="left" w:pos="1560"/>
              </w:tabs>
              <w:spacing w:line="360" w:lineRule="auto"/>
              <w:jc w:val="center"/>
              <w:rPr>
                <w:rFonts w:ascii="Times New Roman" w:hAnsi="Times New Roman" w:cs="Times New Roman"/>
                <w:color w:val="000000" w:themeColor="text1"/>
                <w:sz w:val="24"/>
                <w:szCs w:val="24"/>
                <w:lang w:val="es-ES"/>
              </w:rPr>
            </w:pPr>
          </w:p>
        </w:tc>
      </w:tr>
    </w:tbl>
    <w:p w14:paraId="6BBB78C9" w14:textId="260BBFAD" w:rsidR="00E405FA" w:rsidRPr="00E377F3" w:rsidRDefault="00EB2CE6" w:rsidP="000E217E">
      <w:pPr>
        <w:jc w:val="center"/>
        <w:rPr>
          <w:rFonts w:ascii="Times New Roman" w:hAnsi="Times New Roman" w:cs="Times New Roman"/>
          <w:b/>
          <w:sz w:val="24"/>
          <w:szCs w:val="24"/>
        </w:rPr>
      </w:pPr>
      <w:r w:rsidRPr="00E377F3">
        <w:rPr>
          <w:rFonts w:ascii="Times New Roman" w:hAnsi="Times New Roman" w:cs="Times New Roman"/>
          <w:b/>
          <w:sz w:val="24"/>
          <w:szCs w:val="24"/>
        </w:rPr>
        <w:t>A</w:t>
      </w:r>
      <w:r w:rsidR="00E405FA" w:rsidRPr="00E377F3">
        <w:rPr>
          <w:rFonts w:ascii="Times New Roman" w:hAnsi="Times New Roman" w:cs="Times New Roman"/>
          <w:b/>
          <w:sz w:val="24"/>
          <w:szCs w:val="24"/>
        </w:rPr>
        <w:t>NEXOS:</w:t>
      </w:r>
    </w:p>
    <w:p w14:paraId="1215A34B" w14:textId="77777777" w:rsidR="00E405FA" w:rsidRPr="00E377F3" w:rsidRDefault="00E405FA" w:rsidP="00E405FA">
      <w:pPr>
        <w:autoSpaceDE w:val="0"/>
        <w:autoSpaceDN w:val="0"/>
        <w:adjustRightInd w:val="0"/>
        <w:spacing w:after="0" w:line="480" w:lineRule="auto"/>
        <w:jc w:val="center"/>
        <w:rPr>
          <w:rFonts w:ascii="Times New Roman" w:hAnsi="Times New Roman"/>
          <w:b/>
          <w:bCs/>
          <w:sz w:val="24"/>
          <w:szCs w:val="24"/>
        </w:rPr>
      </w:pPr>
      <w:r w:rsidRPr="00E377F3">
        <w:rPr>
          <w:rFonts w:ascii="Times New Roman" w:hAnsi="Times New Roman"/>
          <w:b/>
          <w:bCs/>
          <w:sz w:val="24"/>
          <w:szCs w:val="24"/>
        </w:rPr>
        <w:t>Tabla N°1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E405FA" w:rsidRPr="00E377F3" w14:paraId="1C935B49" w14:textId="77777777" w:rsidTr="00C960CC">
        <w:tc>
          <w:tcPr>
            <w:tcW w:w="2942" w:type="dxa"/>
            <w:shd w:val="clear" w:color="auto" w:fill="auto"/>
          </w:tcPr>
          <w:p w14:paraId="632639DA" w14:textId="77777777" w:rsidR="00E405FA" w:rsidRPr="00E377F3" w:rsidRDefault="00E405FA" w:rsidP="00C960CC">
            <w:pPr>
              <w:autoSpaceDE w:val="0"/>
              <w:autoSpaceDN w:val="0"/>
              <w:adjustRightInd w:val="0"/>
              <w:spacing w:after="0" w:line="480" w:lineRule="auto"/>
              <w:rPr>
                <w:rFonts w:ascii="Times New Roman" w:hAnsi="Times New Roman"/>
                <w:b/>
                <w:bCs/>
                <w:sz w:val="24"/>
                <w:szCs w:val="24"/>
              </w:rPr>
            </w:pPr>
            <w:r w:rsidRPr="00E377F3">
              <w:rPr>
                <w:rFonts w:ascii="Times New Roman" w:hAnsi="Times New Roman"/>
                <w:b/>
                <w:bCs/>
                <w:sz w:val="24"/>
                <w:szCs w:val="24"/>
              </w:rPr>
              <w:t>Variable considerada</w:t>
            </w:r>
          </w:p>
        </w:tc>
        <w:tc>
          <w:tcPr>
            <w:tcW w:w="2943" w:type="dxa"/>
            <w:shd w:val="clear" w:color="auto" w:fill="auto"/>
          </w:tcPr>
          <w:p w14:paraId="4C865695" w14:textId="77777777" w:rsidR="00E405FA" w:rsidRPr="00E377F3" w:rsidRDefault="00E405FA" w:rsidP="00C960CC">
            <w:pPr>
              <w:autoSpaceDE w:val="0"/>
              <w:autoSpaceDN w:val="0"/>
              <w:adjustRightInd w:val="0"/>
              <w:spacing w:after="0" w:line="480" w:lineRule="auto"/>
              <w:rPr>
                <w:rFonts w:ascii="Times New Roman" w:hAnsi="Times New Roman"/>
                <w:b/>
                <w:bCs/>
                <w:sz w:val="24"/>
                <w:szCs w:val="24"/>
              </w:rPr>
            </w:pPr>
            <w:r w:rsidRPr="00E377F3">
              <w:rPr>
                <w:rFonts w:ascii="Times New Roman" w:hAnsi="Times New Roman"/>
                <w:b/>
                <w:bCs/>
                <w:sz w:val="24"/>
                <w:szCs w:val="24"/>
              </w:rPr>
              <w:t>Valores posibles</w:t>
            </w:r>
          </w:p>
        </w:tc>
        <w:tc>
          <w:tcPr>
            <w:tcW w:w="2943" w:type="dxa"/>
            <w:shd w:val="clear" w:color="auto" w:fill="auto"/>
          </w:tcPr>
          <w:p w14:paraId="58B46BAB" w14:textId="77777777" w:rsidR="00E405FA" w:rsidRPr="00E377F3" w:rsidRDefault="00E405FA" w:rsidP="00C960CC">
            <w:pPr>
              <w:autoSpaceDE w:val="0"/>
              <w:autoSpaceDN w:val="0"/>
              <w:adjustRightInd w:val="0"/>
              <w:spacing w:after="0" w:line="480" w:lineRule="auto"/>
              <w:rPr>
                <w:rFonts w:ascii="Times New Roman" w:hAnsi="Times New Roman"/>
                <w:b/>
                <w:bCs/>
                <w:sz w:val="24"/>
                <w:szCs w:val="24"/>
              </w:rPr>
            </w:pPr>
            <w:r w:rsidRPr="00E377F3">
              <w:rPr>
                <w:rFonts w:ascii="Times New Roman" w:hAnsi="Times New Roman"/>
                <w:b/>
                <w:bCs/>
                <w:sz w:val="24"/>
                <w:szCs w:val="24"/>
              </w:rPr>
              <w:t>Puntos por obtener</w:t>
            </w:r>
          </w:p>
        </w:tc>
      </w:tr>
      <w:tr w:rsidR="00E405FA" w:rsidRPr="00E377F3" w14:paraId="38B012D9" w14:textId="77777777" w:rsidTr="00C960CC">
        <w:trPr>
          <w:trHeight w:val="414"/>
        </w:trPr>
        <w:tc>
          <w:tcPr>
            <w:tcW w:w="2942" w:type="dxa"/>
            <w:vMerge w:val="restart"/>
            <w:shd w:val="clear" w:color="auto" w:fill="auto"/>
          </w:tcPr>
          <w:p w14:paraId="1643D6A3" w14:textId="35E31A9B" w:rsidR="00E405FA" w:rsidRPr="00E377F3" w:rsidRDefault="00E405FA" w:rsidP="00227E36">
            <w:p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b/>
                <w:bCs/>
                <w:sz w:val="24"/>
                <w:szCs w:val="24"/>
              </w:rPr>
              <w:t>1.</w:t>
            </w:r>
            <w:r w:rsidRPr="00E377F3">
              <w:rPr>
                <w:rFonts w:ascii="Century" w:hAnsi="Century" w:cs="Century"/>
                <w:sz w:val="24"/>
                <w:szCs w:val="24"/>
              </w:rPr>
              <w:t xml:space="preserve"> Variación porcentual del índice de precios de viviendas de interés social, acumulada de los doce meses anteriores al vencimiento de cada año del contrato </w:t>
            </w:r>
            <w:r w:rsidRPr="00E377F3">
              <w:rPr>
                <w:rFonts w:ascii="Century" w:hAnsi="Century" w:cs="Century"/>
                <w:b/>
                <w:bCs/>
                <w:sz w:val="24"/>
                <w:szCs w:val="24"/>
              </w:rPr>
              <w:t>(C</w:t>
            </w:r>
            <w:r w:rsidRPr="00E377F3">
              <w:rPr>
                <w:rFonts w:ascii="Century" w:hAnsi="Century" w:cs="Century"/>
                <w:sz w:val="24"/>
                <w:szCs w:val="24"/>
              </w:rPr>
              <w:t>).</w:t>
            </w:r>
          </w:p>
        </w:tc>
        <w:tc>
          <w:tcPr>
            <w:tcW w:w="2943" w:type="dxa"/>
            <w:shd w:val="clear" w:color="auto" w:fill="auto"/>
          </w:tcPr>
          <w:p w14:paraId="438DDEB1"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C ≤ 5%</w:t>
            </w:r>
          </w:p>
        </w:tc>
        <w:tc>
          <w:tcPr>
            <w:tcW w:w="2943" w:type="dxa"/>
            <w:shd w:val="clear" w:color="auto" w:fill="auto"/>
          </w:tcPr>
          <w:p w14:paraId="34A4FDF9"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E405FA" w:rsidRPr="00E377F3" w14:paraId="47929788" w14:textId="77777777" w:rsidTr="00C960CC">
        <w:trPr>
          <w:trHeight w:val="414"/>
        </w:trPr>
        <w:tc>
          <w:tcPr>
            <w:tcW w:w="2942" w:type="dxa"/>
            <w:vMerge/>
            <w:shd w:val="clear" w:color="auto" w:fill="auto"/>
          </w:tcPr>
          <w:p w14:paraId="55CFDD0E"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22605434" w14:textId="589AEF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5%</w:t>
            </w:r>
            <w:r w:rsidR="00F46921" w:rsidRPr="00E377F3">
              <w:rPr>
                <w:rFonts w:ascii="Century" w:hAnsi="Century" w:cs="Century"/>
                <w:sz w:val="24"/>
                <w:szCs w:val="24"/>
              </w:rPr>
              <w:t xml:space="preserve"> </w:t>
            </w:r>
            <w:r w:rsidRPr="00E377F3">
              <w:rPr>
                <w:rFonts w:ascii="Century" w:hAnsi="Century" w:cs="Century"/>
                <w:sz w:val="24"/>
                <w:szCs w:val="24"/>
              </w:rPr>
              <w:t>&lt;</w:t>
            </w:r>
            <w:r w:rsidR="00F46921" w:rsidRPr="00E377F3">
              <w:rPr>
                <w:rFonts w:ascii="Century" w:hAnsi="Century" w:cs="Century"/>
                <w:sz w:val="24"/>
                <w:szCs w:val="24"/>
              </w:rPr>
              <w:t xml:space="preserve"> </w:t>
            </w:r>
            <w:r w:rsidRPr="00E377F3">
              <w:rPr>
                <w:rFonts w:ascii="Century" w:hAnsi="Century" w:cs="Century"/>
                <w:sz w:val="24"/>
                <w:szCs w:val="24"/>
              </w:rPr>
              <w:t>C ≤ 10%</w:t>
            </w:r>
          </w:p>
        </w:tc>
        <w:tc>
          <w:tcPr>
            <w:tcW w:w="2943" w:type="dxa"/>
            <w:shd w:val="clear" w:color="auto" w:fill="auto"/>
          </w:tcPr>
          <w:p w14:paraId="648B1ADE"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2</w:t>
            </w:r>
          </w:p>
        </w:tc>
      </w:tr>
      <w:tr w:rsidR="00E405FA" w:rsidRPr="00E377F3" w14:paraId="7C4DA495" w14:textId="77777777" w:rsidTr="00C960CC">
        <w:trPr>
          <w:trHeight w:val="414"/>
        </w:trPr>
        <w:tc>
          <w:tcPr>
            <w:tcW w:w="2942" w:type="dxa"/>
            <w:vMerge/>
            <w:shd w:val="clear" w:color="auto" w:fill="auto"/>
          </w:tcPr>
          <w:p w14:paraId="5DCC10ED"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78B229BD" w14:textId="47E322BD"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10%</w:t>
            </w:r>
            <w:r w:rsidR="00F46921" w:rsidRPr="00E377F3">
              <w:rPr>
                <w:rFonts w:ascii="Century" w:hAnsi="Century" w:cs="Century"/>
                <w:sz w:val="24"/>
                <w:szCs w:val="24"/>
              </w:rPr>
              <w:t xml:space="preserve"> </w:t>
            </w:r>
            <w:r w:rsidRPr="00E377F3">
              <w:rPr>
                <w:rFonts w:ascii="Century" w:hAnsi="Century" w:cs="Century"/>
                <w:sz w:val="24"/>
                <w:szCs w:val="24"/>
              </w:rPr>
              <w:t>&lt;</w:t>
            </w:r>
            <w:r w:rsidR="00F46921" w:rsidRPr="00E377F3">
              <w:rPr>
                <w:rFonts w:ascii="Century" w:hAnsi="Century" w:cs="Century"/>
                <w:sz w:val="24"/>
                <w:szCs w:val="24"/>
              </w:rPr>
              <w:t xml:space="preserve"> </w:t>
            </w:r>
            <w:r w:rsidRPr="00E377F3">
              <w:rPr>
                <w:rFonts w:ascii="Century" w:hAnsi="Century" w:cs="Century"/>
                <w:sz w:val="24"/>
                <w:szCs w:val="24"/>
              </w:rPr>
              <w:t>C</w:t>
            </w:r>
          </w:p>
        </w:tc>
        <w:tc>
          <w:tcPr>
            <w:tcW w:w="2943" w:type="dxa"/>
            <w:shd w:val="clear" w:color="auto" w:fill="auto"/>
          </w:tcPr>
          <w:p w14:paraId="65F8291A"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3</w:t>
            </w:r>
          </w:p>
        </w:tc>
      </w:tr>
      <w:tr w:rsidR="00227E36" w:rsidRPr="00E377F3" w14:paraId="5580FEB4" w14:textId="77777777" w:rsidTr="00C960CC">
        <w:trPr>
          <w:trHeight w:val="428"/>
        </w:trPr>
        <w:tc>
          <w:tcPr>
            <w:tcW w:w="2942" w:type="dxa"/>
            <w:vMerge w:val="restart"/>
            <w:shd w:val="clear" w:color="auto" w:fill="auto"/>
          </w:tcPr>
          <w:p w14:paraId="49AFD5AC" w14:textId="77777777" w:rsidR="00227E36" w:rsidRPr="00E377F3" w:rsidRDefault="00227E36"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2</w:t>
            </w:r>
            <w:r w:rsidRPr="00E377F3">
              <w:rPr>
                <w:rFonts w:ascii="Century" w:hAnsi="Century" w:cs="Century"/>
                <w:b/>
                <w:bCs/>
                <w:sz w:val="24"/>
                <w:szCs w:val="24"/>
              </w:rPr>
              <w:t>.</w:t>
            </w:r>
            <w:r w:rsidRPr="00E377F3">
              <w:rPr>
                <w:rFonts w:ascii="Century" w:hAnsi="Century" w:cs="Century"/>
                <w:sz w:val="24"/>
                <w:szCs w:val="24"/>
              </w:rPr>
              <w:t xml:space="preserve"> Porcentaje de viviendas alquiladas, según estado físico (</w:t>
            </w:r>
            <w:r w:rsidRPr="00E377F3">
              <w:rPr>
                <w:rFonts w:ascii="Century" w:hAnsi="Century" w:cs="Century"/>
                <w:b/>
                <w:bCs/>
                <w:sz w:val="24"/>
                <w:szCs w:val="24"/>
              </w:rPr>
              <w:t>E)</w:t>
            </w:r>
            <w:r w:rsidRPr="00E377F3">
              <w:rPr>
                <w:rFonts w:ascii="Century" w:hAnsi="Century" w:cs="Century"/>
                <w:sz w:val="24"/>
                <w:szCs w:val="24"/>
              </w:rPr>
              <w:t>. *</w:t>
            </w:r>
          </w:p>
        </w:tc>
        <w:tc>
          <w:tcPr>
            <w:tcW w:w="2943" w:type="dxa"/>
            <w:shd w:val="clear" w:color="auto" w:fill="auto"/>
          </w:tcPr>
          <w:p w14:paraId="79A516E6" w14:textId="77777777" w:rsidR="00227E36"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Malo</w:t>
            </w:r>
          </w:p>
        </w:tc>
        <w:tc>
          <w:tcPr>
            <w:tcW w:w="2943" w:type="dxa"/>
            <w:shd w:val="clear" w:color="auto" w:fill="auto"/>
          </w:tcPr>
          <w:p w14:paraId="4D6C7994" w14:textId="77777777" w:rsidR="00227E36"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227E36" w:rsidRPr="00E377F3" w14:paraId="76BC7492" w14:textId="77777777" w:rsidTr="00C960CC">
        <w:trPr>
          <w:trHeight w:val="427"/>
        </w:trPr>
        <w:tc>
          <w:tcPr>
            <w:tcW w:w="2942" w:type="dxa"/>
            <w:vMerge/>
            <w:shd w:val="clear" w:color="auto" w:fill="auto"/>
          </w:tcPr>
          <w:p w14:paraId="50B8145C" w14:textId="77777777" w:rsidR="00227E36" w:rsidRPr="00E377F3" w:rsidRDefault="00227E36"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40F1E683" w14:textId="77777777" w:rsidR="00227E36"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Regular</w:t>
            </w:r>
          </w:p>
        </w:tc>
        <w:tc>
          <w:tcPr>
            <w:tcW w:w="2943" w:type="dxa"/>
            <w:shd w:val="clear" w:color="auto" w:fill="auto"/>
          </w:tcPr>
          <w:p w14:paraId="1B25084F" w14:textId="77777777" w:rsidR="00227E36"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2</w:t>
            </w:r>
          </w:p>
        </w:tc>
      </w:tr>
      <w:tr w:rsidR="00227E36" w:rsidRPr="00E377F3" w14:paraId="14F2A968" w14:textId="77777777" w:rsidTr="00C960CC">
        <w:trPr>
          <w:trHeight w:val="427"/>
        </w:trPr>
        <w:tc>
          <w:tcPr>
            <w:tcW w:w="2942" w:type="dxa"/>
            <w:vMerge/>
            <w:shd w:val="clear" w:color="auto" w:fill="auto"/>
          </w:tcPr>
          <w:p w14:paraId="40C5EECE" w14:textId="77777777" w:rsidR="00227E36" w:rsidRPr="00E377F3" w:rsidRDefault="00227E36"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046726A9" w14:textId="287915B5" w:rsidR="00227E36" w:rsidRPr="00E377F3" w:rsidRDefault="00227E36"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Bueno</w:t>
            </w:r>
          </w:p>
        </w:tc>
        <w:tc>
          <w:tcPr>
            <w:tcW w:w="2943" w:type="dxa"/>
            <w:shd w:val="clear" w:color="auto" w:fill="auto"/>
          </w:tcPr>
          <w:p w14:paraId="0442E25D" w14:textId="48429174" w:rsidR="00227E36"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3</w:t>
            </w:r>
          </w:p>
        </w:tc>
      </w:tr>
      <w:tr w:rsidR="00E405FA" w:rsidRPr="00E377F3" w14:paraId="26E56007" w14:textId="77777777" w:rsidTr="00C960CC">
        <w:trPr>
          <w:trHeight w:val="330"/>
        </w:trPr>
        <w:tc>
          <w:tcPr>
            <w:tcW w:w="2942" w:type="dxa"/>
            <w:vMerge w:val="restart"/>
            <w:shd w:val="clear" w:color="auto" w:fill="auto"/>
          </w:tcPr>
          <w:p w14:paraId="36D0F5E2"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3.</w:t>
            </w:r>
            <w:r w:rsidRPr="00E377F3">
              <w:rPr>
                <w:rFonts w:ascii="Century" w:hAnsi="Century" w:cs="Century"/>
                <w:sz w:val="24"/>
                <w:szCs w:val="24"/>
              </w:rPr>
              <w:t xml:space="preserve"> Porcentaje de viviendas alquiladas, según zona (</w:t>
            </w:r>
            <w:r w:rsidRPr="00E377F3">
              <w:rPr>
                <w:rFonts w:ascii="Century" w:hAnsi="Century" w:cs="Century"/>
                <w:b/>
                <w:bCs/>
                <w:sz w:val="24"/>
                <w:szCs w:val="24"/>
              </w:rPr>
              <w:t>Z</w:t>
            </w:r>
            <w:r w:rsidRPr="00E377F3">
              <w:rPr>
                <w:rFonts w:ascii="Century" w:hAnsi="Century" w:cs="Century"/>
                <w:sz w:val="24"/>
                <w:szCs w:val="24"/>
              </w:rPr>
              <w:t>). *</w:t>
            </w:r>
          </w:p>
        </w:tc>
        <w:tc>
          <w:tcPr>
            <w:tcW w:w="2943" w:type="dxa"/>
            <w:shd w:val="clear" w:color="auto" w:fill="auto"/>
          </w:tcPr>
          <w:p w14:paraId="0975A7DC" w14:textId="232BF56B" w:rsidR="00E405FA"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 xml:space="preserve">Rural </w:t>
            </w:r>
          </w:p>
        </w:tc>
        <w:tc>
          <w:tcPr>
            <w:tcW w:w="2943" w:type="dxa"/>
            <w:shd w:val="clear" w:color="auto" w:fill="auto"/>
          </w:tcPr>
          <w:p w14:paraId="01B564B7" w14:textId="6872C643" w:rsidR="00E405FA"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E405FA" w:rsidRPr="00E377F3" w14:paraId="7FC0C112" w14:textId="77777777" w:rsidTr="00C960CC">
        <w:trPr>
          <w:trHeight w:val="330"/>
        </w:trPr>
        <w:tc>
          <w:tcPr>
            <w:tcW w:w="2942" w:type="dxa"/>
            <w:vMerge/>
            <w:shd w:val="clear" w:color="auto" w:fill="auto"/>
          </w:tcPr>
          <w:p w14:paraId="48A1B214" w14:textId="77777777" w:rsidR="00E405FA" w:rsidRPr="00E377F3" w:rsidRDefault="00E405FA" w:rsidP="00BD25C2">
            <w:pPr>
              <w:autoSpaceDE w:val="0"/>
              <w:autoSpaceDN w:val="0"/>
              <w:adjustRightInd w:val="0"/>
              <w:spacing w:after="0" w:line="240" w:lineRule="auto"/>
              <w:jc w:val="both"/>
              <w:rPr>
                <w:rFonts w:ascii="Times New Roman" w:hAnsi="Times New Roman"/>
                <w:sz w:val="24"/>
                <w:szCs w:val="24"/>
              </w:rPr>
            </w:pPr>
          </w:p>
        </w:tc>
        <w:tc>
          <w:tcPr>
            <w:tcW w:w="2943" w:type="dxa"/>
            <w:shd w:val="clear" w:color="auto" w:fill="auto"/>
          </w:tcPr>
          <w:p w14:paraId="7E398952" w14:textId="25918E8F" w:rsidR="00E405FA"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Urbana</w:t>
            </w:r>
          </w:p>
        </w:tc>
        <w:tc>
          <w:tcPr>
            <w:tcW w:w="2943" w:type="dxa"/>
            <w:shd w:val="clear" w:color="auto" w:fill="auto"/>
          </w:tcPr>
          <w:p w14:paraId="005609C0" w14:textId="7050ADB4" w:rsidR="00E405FA" w:rsidRPr="00E377F3" w:rsidRDefault="00227E36"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2</w:t>
            </w:r>
          </w:p>
        </w:tc>
      </w:tr>
      <w:tr w:rsidR="00E405FA" w:rsidRPr="00E377F3" w14:paraId="0A0FA893" w14:textId="77777777" w:rsidTr="00C960CC">
        <w:trPr>
          <w:trHeight w:val="378"/>
        </w:trPr>
        <w:tc>
          <w:tcPr>
            <w:tcW w:w="2942" w:type="dxa"/>
            <w:vMerge w:val="restart"/>
            <w:shd w:val="clear" w:color="auto" w:fill="auto"/>
          </w:tcPr>
          <w:p w14:paraId="6AD8119B" w14:textId="052083BE" w:rsidR="00E405FA" w:rsidRPr="00E377F3" w:rsidRDefault="00E405FA" w:rsidP="00F46921">
            <w:p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b/>
                <w:bCs/>
                <w:sz w:val="24"/>
                <w:szCs w:val="24"/>
              </w:rPr>
              <w:t>4.</w:t>
            </w:r>
            <w:r w:rsidRPr="00E377F3">
              <w:rPr>
                <w:rFonts w:ascii="Century" w:hAnsi="Century" w:cs="Century"/>
                <w:sz w:val="24"/>
                <w:szCs w:val="24"/>
              </w:rPr>
              <w:t xml:space="preserve"> Porcentaje de viviendas alquiladas, según disponibilidad de servicio básicos (</w:t>
            </w:r>
            <w:r w:rsidRPr="00E377F3">
              <w:rPr>
                <w:rFonts w:ascii="Century" w:hAnsi="Century" w:cs="Century"/>
                <w:b/>
                <w:bCs/>
                <w:sz w:val="24"/>
                <w:szCs w:val="24"/>
              </w:rPr>
              <w:t>S</w:t>
            </w:r>
            <w:r w:rsidRPr="00E377F3">
              <w:rPr>
                <w:rFonts w:ascii="Century" w:hAnsi="Century" w:cs="Century"/>
                <w:sz w:val="24"/>
                <w:szCs w:val="24"/>
              </w:rPr>
              <w:t>). *</w:t>
            </w:r>
          </w:p>
        </w:tc>
        <w:tc>
          <w:tcPr>
            <w:tcW w:w="2943" w:type="dxa"/>
            <w:shd w:val="clear" w:color="auto" w:fill="auto"/>
          </w:tcPr>
          <w:p w14:paraId="7E285513" w14:textId="0EAF7BAD"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No tiene servicios</w:t>
            </w:r>
          </w:p>
        </w:tc>
        <w:tc>
          <w:tcPr>
            <w:tcW w:w="2943" w:type="dxa"/>
            <w:shd w:val="clear" w:color="auto" w:fill="auto"/>
          </w:tcPr>
          <w:p w14:paraId="6C54BE26" w14:textId="0E04B885"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E405FA" w:rsidRPr="00E377F3" w14:paraId="09515899" w14:textId="77777777" w:rsidTr="00C960CC">
        <w:trPr>
          <w:trHeight w:val="378"/>
        </w:trPr>
        <w:tc>
          <w:tcPr>
            <w:tcW w:w="2942" w:type="dxa"/>
            <w:vMerge/>
            <w:shd w:val="clear" w:color="auto" w:fill="auto"/>
          </w:tcPr>
          <w:p w14:paraId="15C2D11E" w14:textId="77777777" w:rsidR="00E405FA" w:rsidRPr="00E377F3" w:rsidRDefault="00E405FA" w:rsidP="00BD25C2">
            <w:pPr>
              <w:autoSpaceDE w:val="0"/>
              <w:autoSpaceDN w:val="0"/>
              <w:adjustRightInd w:val="0"/>
              <w:spacing w:after="0" w:line="240" w:lineRule="auto"/>
              <w:jc w:val="both"/>
              <w:rPr>
                <w:rFonts w:ascii="Times New Roman" w:hAnsi="Times New Roman"/>
                <w:sz w:val="24"/>
                <w:szCs w:val="24"/>
              </w:rPr>
            </w:pPr>
          </w:p>
        </w:tc>
        <w:tc>
          <w:tcPr>
            <w:tcW w:w="2943" w:type="dxa"/>
            <w:shd w:val="clear" w:color="auto" w:fill="auto"/>
          </w:tcPr>
          <w:p w14:paraId="6DDD2AD6" w14:textId="5EE5A123"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Servicios deficientes</w:t>
            </w:r>
          </w:p>
        </w:tc>
        <w:tc>
          <w:tcPr>
            <w:tcW w:w="2943" w:type="dxa"/>
            <w:shd w:val="clear" w:color="auto" w:fill="auto"/>
          </w:tcPr>
          <w:p w14:paraId="58C143C2" w14:textId="2A63934F"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2</w:t>
            </w:r>
          </w:p>
        </w:tc>
      </w:tr>
      <w:tr w:rsidR="00E405FA" w:rsidRPr="00E377F3" w14:paraId="72D0C79E" w14:textId="77777777" w:rsidTr="00F46921">
        <w:trPr>
          <w:trHeight w:val="376"/>
        </w:trPr>
        <w:tc>
          <w:tcPr>
            <w:tcW w:w="2942" w:type="dxa"/>
            <w:vMerge/>
            <w:shd w:val="clear" w:color="auto" w:fill="auto"/>
          </w:tcPr>
          <w:p w14:paraId="10C0A75F" w14:textId="77777777" w:rsidR="00E405FA" w:rsidRPr="00E377F3" w:rsidRDefault="00E405FA" w:rsidP="00BD25C2">
            <w:pPr>
              <w:autoSpaceDE w:val="0"/>
              <w:autoSpaceDN w:val="0"/>
              <w:adjustRightInd w:val="0"/>
              <w:spacing w:after="0" w:line="240" w:lineRule="auto"/>
              <w:jc w:val="both"/>
              <w:rPr>
                <w:rFonts w:ascii="Times New Roman" w:hAnsi="Times New Roman"/>
                <w:sz w:val="24"/>
                <w:szCs w:val="24"/>
              </w:rPr>
            </w:pPr>
          </w:p>
        </w:tc>
        <w:tc>
          <w:tcPr>
            <w:tcW w:w="2943" w:type="dxa"/>
            <w:shd w:val="clear" w:color="auto" w:fill="auto"/>
          </w:tcPr>
          <w:p w14:paraId="49E1AD6B" w14:textId="75E9DA45"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Servicios óptimos</w:t>
            </w:r>
          </w:p>
        </w:tc>
        <w:tc>
          <w:tcPr>
            <w:tcW w:w="2943" w:type="dxa"/>
            <w:shd w:val="clear" w:color="auto" w:fill="auto"/>
          </w:tcPr>
          <w:p w14:paraId="71C6CDC4" w14:textId="27678C1E"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3</w:t>
            </w:r>
          </w:p>
        </w:tc>
      </w:tr>
      <w:tr w:rsidR="00E405FA" w:rsidRPr="00E377F3" w14:paraId="36C349D1" w14:textId="77777777" w:rsidTr="00C960CC">
        <w:trPr>
          <w:trHeight w:val="405"/>
        </w:trPr>
        <w:tc>
          <w:tcPr>
            <w:tcW w:w="2942" w:type="dxa"/>
            <w:vMerge w:val="restart"/>
            <w:shd w:val="clear" w:color="auto" w:fill="auto"/>
          </w:tcPr>
          <w:p w14:paraId="4E86FC7F" w14:textId="1EDA13B2"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5.</w:t>
            </w:r>
            <w:r w:rsidRPr="00E377F3">
              <w:rPr>
                <w:rFonts w:ascii="Times New Roman" w:hAnsi="Times New Roman"/>
                <w:sz w:val="24"/>
                <w:szCs w:val="24"/>
              </w:rPr>
              <w:t xml:space="preserve"> </w:t>
            </w:r>
            <w:r w:rsidRPr="00E377F3">
              <w:rPr>
                <w:rFonts w:ascii="Century" w:hAnsi="Century" w:cs="Century"/>
                <w:sz w:val="24"/>
                <w:szCs w:val="24"/>
              </w:rPr>
              <w:t>Porcentaje de ingreso promedio</w:t>
            </w:r>
            <w:r w:rsidR="00BD25C2" w:rsidRPr="00E377F3">
              <w:rPr>
                <w:rFonts w:ascii="Century" w:hAnsi="Century" w:cs="Century"/>
                <w:sz w:val="24"/>
                <w:szCs w:val="24"/>
              </w:rPr>
              <w:t xml:space="preserve"> </w:t>
            </w:r>
            <w:r w:rsidR="009C3349" w:rsidRPr="00E377F3">
              <w:rPr>
                <w:rFonts w:ascii="Century" w:hAnsi="Century" w:cs="Century"/>
                <w:sz w:val="24"/>
                <w:szCs w:val="24"/>
              </w:rPr>
              <w:t>t</w:t>
            </w:r>
            <w:r w:rsidRPr="00E377F3">
              <w:rPr>
                <w:rFonts w:ascii="Century" w:hAnsi="Century" w:cs="Century"/>
                <w:sz w:val="24"/>
                <w:szCs w:val="24"/>
              </w:rPr>
              <w:t>otal del hogar, que gasta en alquilar (</w:t>
            </w:r>
            <w:r w:rsidR="00F46921" w:rsidRPr="00E377F3">
              <w:rPr>
                <w:rFonts w:ascii="Century" w:hAnsi="Century" w:cs="Century"/>
                <w:b/>
                <w:bCs/>
                <w:sz w:val="24"/>
                <w:szCs w:val="24"/>
              </w:rPr>
              <w:t>G</w:t>
            </w:r>
            <w:r w:rsidRPr="00E377F3">
              <w:rPr>
                <w:rFonts w:ascii="Century" w:hAnsi="Century" w:cs="Century"/>
                <w:sz w:val="24"/>
                <w:szCs w:val="24"/>
              </w:rPr>
              <w:t>)</w:t>
            </w:r>
          </w:p>
          <w:p w14:paraId="2B9176F8" w14:textId="77777777" w:rsidR="00E405FA" w:rsidRPr="00E377F3" w:rsidRDefault="00E405FA" w:rsidP="00BD25C2">
            <w:pPr>
              <w:autoSpaceDE w:val="0"/>
              <w:autoSpaceDN w:val="0"/>
              <w:adjustRightInd w:val="0"/>
              <w:spacing w:after="0" w:line="480" w:lineRule="auto"/>
              <w:jc w:val="both"/>
              <w:rPr>
                <w:rFonts w:ascii="Times New Roman" w:hAnsi="Times New Roman"/>
                <w:sz w:val="24"/>
                <w:szCs w:val="24"/>
              </w:rPr>
            </w:pPr>
          </w:p>
        </w:tc>
        <w:tc>
          <w:tcPr>
            <w:tcW w:w="2943" w:type="dxa"/>
            <w:shd w:val="clear" w:color="auto" w:fill="auto"/>
          </w:tcPr>
          <w:p w14:paraId="068DD1FA" w14:textId="4A2CB4C0"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15% &lt; G</w:t>
            </w:r>
          </w:p>
        </w:tc>
        <w:tc>
          <w:tcPr>
            <w:tcW w:w="2943" w:type="dxa"/>
            <w:shd w:val="clear" w:color="auto" w:fill="auto"/>
          </w:tcPr>
          <w:p w14:paraId="09BD1B0C" w14:textId="6AECB9BE"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E405FA" w:rsidRPr="00E377F3" w14:paraId="042D276E" w14:textId="77777777" w:rsidTr="00C960CC">
        <w:trPr>
          <w:trHeight w:val="405"/>
        </w:trPr>
        <w:tc>
          <w:tcPr>
            <w:tcW w:w="2942" w:type="dxa"/>
            <w:vMerge/>
            <w:shd w:val="clear" w:color="auto" w:fill="auto"/>
          </w:tcPr>
          <w:p w14:paraId="7CF3A213"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299DBA39" w14:textId="6373C752"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10% &lt; G ≤ 15%</w:t>
            </w:r>
          </w:p>
        </w:tc>
        <w:tc>
          <w:tcPr>
            <w:tcW w:w="2943" w:type="dxa"/>
            <w:shd w:val="clear" w:color="auto" w:fill="auto"/>
          </w:tcPr>
          <w:p w14:paraId="22FDF859" w14:textId="5E5B522A"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2</w:t>
            </w:r>
          </w:p>
        </w:tc>
      </w:tr>
      <w:tr w:rsidR="00E405FA" w:rsidRPr="00E377F3" w14:paraId="2C464A5F" w14:textId="77777777" w:rsidTr="00C960CC">
        <w:trPr>
          <w:trHeight w:val="405"/>
        </w:trPr>
        <w:tc>
          <w:tcPr>
            <w:tcW w:w="2942" w:type="dxa"/>
            <w:vMerge/>
            <w:shd w:val="clear" w:color="auto" w:fill="auto"/>
          </w:tcPr>
          <w:p w14:paraId="534E6A2C"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024BF134" w14:textId="7EDFCDF2"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G ≤ 10%</w:t>
            </w:r>
          </w:p>
        </w:tc>
        <w:tc>
          <w:tcPr>
            <w:tcW w:w="2943" w:type="dxa"/>
            <w:shd w:val="clear" w:color="auto" w:fill="auto"/>
          </w:tcPr>
          <w:p w14:paraId="36711BDA" w14:textId="790AF4E1"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3</w:t>
            </w:r>
          </w:p>
        </w:tc>
      </w:tr>
      <w:tr w:rsidR="00E405FA" w:rsidRPr="00E377F3" w14:paraId="284AC98F" w14:textId="77777777" w:rsidTr="00C960CC">
        <w:trPr>
          <w:trHeight w:val="306"/>
        </w:trPr>
        <w:tc>
          <w:tcPr>
            <w:tcW w:w="2942" w:type="dxa"/>
            <w:vMerge w:val="restart"/>
            <w:shd w:val="clear" w:color="auto" w:fill="auto"/>
          </w:tcPr>
          <w:p w14:paraId="699B7A0D"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6.</w:t>
            </w:r>
            <w:r w:rsidRPr="00E377F3">
              <w:rPr>
                <w:rFonts w:ascii="Times New Roman" w:hAnsi="Times New Roman"/>
                <w:sz w:val="24"/>
                <w:szCs w:val="24"/>
              </w:rPr>
              <w:t xml:space="preserve"> </w:t>
            </w:r>
            <w:r w:rsidRPr="00E377F3">
              <w:rPr>
                <w:rFonts w:ascii="Century" w:hAnsi="Century" w:cs="Century"/>
                <w:sz w:val="24"/>
                <w:szCs w:val="24"/>
              </w:rPr>
              <w:t>Porcentaje de hogares que</w:t>
            </w:r>
          </w:p>
          <w:p w14:paraId="0CA630B3"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Century" w:hAnsi="Century" w:cs="Century"/>
                <w:sz w:val="24"/>
                <w:szCs w:val="24"/>
              </w:rPr>
              <w:t>alquilan vivienda, según nivel</w:t>
            </w:r>
            <w:r w:rsidR="00BD25C2" w:rsidRPr="00E377F3">
              <w:rPr>
                <w:rFonts w:ascii="Century" w:hAnsi="Century" w:cs="Century"/>
                <w:sz w:val="24"/>
                <w:szCs w:val="24"/>
              </w:rPr>
              <w:t xml:space="preserve"> </w:t>
            </w:r>
            <w:r w:rsidRPr="00E377F3">
              <w:rPr>
                <w:rFonts w:ascii="Century" w:hAnsi="Century" w:cs="Century"/>
                <w:sz w:val="24"/>
                <w:szCs w:val="24"/>
              </w:rPr>
              <w:t>de pobreza (</w:t>
            </w:r>
            <w:r w:rsidRPr="00E377F3">
              <w:rPr>
                <w:rFonts w:ascii="Century" w:hAnsi="Century" w:cs="Century"/>
                <w:b/>
                <w:bCs/>
                <w:sz w:val="24"/>
                <w:szCs w:val="24"/>
              </w:rPr>
              <w:t>A</w:t>
            </w:r>
            <w:r w:rsidRPr="00E377F3">
              <w:rPr>
                <w:rFonts w:ascii="Century" w:hAnsi="Century" w:cs="Century"/>
                <w:sz w:val="24"/>
                <w:szCs w:val="24"/>
              </w:rPr>
              <w:t>). *</w:t>
            </w:r>
          </w:p>
          <w:p w14:paraId="5EA6ECB0"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44D2F57A" w14:textId="06513ADE"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Pobreza extrema</w:t>
            </w:r>
          </w:p>
        </w:tc>
        <w:tc>
          <w:tcPr>
            <w:tcW w:w="2943" w:type="dxa"/>
            <w:shd w:val="clear" w:color="auto" w:fill="auto"/>
          </w:tcPr>
          <w:p w14:paraId="6C20257B" w14:textId="47593E0E"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E405FA" w:rsidRPr="00E377F3" w14:paraId="277B0844" w14:textId="77777777" w:rsidTr="00C960CC">
        <w:trPr>
          <w:trHeight w:val="303"/>
        </w:trPr>
        <w:tc>
          <w:tcPr>
            <w:tcW w:w="2942" w:type="dxa"/>
            <w:vMerge/>
            <w:shd w:val="clear" w:color="auto" w:fill="auto"/>
          </w:tcPr>
          <w:p w14:paraId="58233FC0"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5B51898E" w14:textId="1E49ECDE"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Pobreza no extrema</w:t>
            </w:r>
          </w:p>
        </w:tc>
        <w:tc>
          <w:tcPr>
            <w:tcW w:w="2943" w:type="dxa"/>
            <w:shd w:val="clear" w:color="auto" w:fill="auto"/>
          </w:tcPr>
          <w:p w14:paraId="62170080" w14:textId="53F71006"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2</w:t>
            </w:r>
          </w:p>
        </w:tc>
      </w:tr>
      <w:tr w:rsidR="00E405FA" w:rsidRPr="00E377F3" w14:paraId="33E0475B" w14:textId="77777777" w:rsidTr="00C960CC">
        <w:trPr>
          <w:trHeight w:val="303"/>
        </w:trPr>
        <w:tc>
          <w:tcPr>
            <w:tcW w:w="2942" w:type="dxa"/>
            <w:vMerge/>
            <w:shd w:val="clear" w:color="auto" w:fill="auto"/>
          </w:tcPr>
          <w:p w14:paraId="35F8E368" w14:textId="77777777" w:rsidR="00E405FA" w:rsidRPr="00E377F3" w:rsidRDefault="00E405FA" w:rsidP="00C960CC">
            <w:pPr>
              <w:autoSpaceDE w:val="0"/>
              <w:autoSpaceDN w:val="0"/>
              <w:adjustRightInd w:val="0"/>
              <w:spacing w:after="0" w:line="240" w:lineRule="auto"/>
              <w:rPr>
                <w:rFonts w:ascii="Times New Roman" w:hAnsi="Times New Roman"/>
                <w:sz w:val="24"/>
                <w:szCs w:val="24"/>
              </w:rPr>
            </w:pPr>
          </w:p>
        </w:tc>
        <w:tc>
          <w:tcPr>
            <w:tcW w:w="2943" w:type="dxa"/>
            <w:shd w:val="clear" w:color="auto" w:fill="auto"/>
          </w:tcPr>
          <w:p w14:paraId="2838EA4B" w14:textId="51807019"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No pobres</w:t>
            </w:r>
          </w:p>
        </w:tc>
        <w:tc>
          <w:tcPr>
            <w:tcW w:w="2943" w:type="dxa"/>
            <w:shd w:val="clear" w:color="auto" w:fill="auto"/>
          </w:tcPr>
          <w:p w14:paraId="2A810D19" w14:textId="3EF5CEDE" w:rsidR="00E405FA" w:rsidRPr="00E377F3" w:rsidRDefault="00F46921"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3</w:t>
            </w:r>
          </w:p>
        </w:tc>
      </w:tr>
    </w:tbl>
    <w:p w14:paraId="5A4642AE" w14:textId="4BD91301" w:rsidR="00E405FA" w:rsidRPr="00E377F3" w:rsidRDefault="00E405FA" w:rsidP="00E405FA">
      <w:p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sz w:val="24"/>
          <w:szCs w:val="24"/>
        </w:rPr>
        <w:lastRenderedPageBreak/>
        <w:t>* En estos casos, se obtiene un puntaje promedio ponderado, al sumar los productos de la multiplicación del porcentaje de viviendas u hogares -según corresponda-</w:t>
      </w:r>
      <w:r w:rsidR="003245AC" w:rsidRPr="00E377F3">
        <w:rPr>
          <w:rFonts w:ascii="Times New Roman" w:hAnsi="Times New Roman"/>
          <w:sz w:val="24"/>
          <w:szCs w:val="24"/>
        </w:rPr>
        <w:t>,</w:t>
      </w:r>
      <w:r w:rsidRPr="00E377F3">
        <w:rPr>
          <w:rFonts w:ascii="Times New Roman" w:hAnsi="Times New Roman"/>
          <w:sz w:val="24"/>
          <w:szCs w:val="24"/>
        </w:rPr>
        <w:t xml:space="preserve"> que pertenecen a cada categoría</w:t>
      </w:r>
      <w:r w:rsidR="003245AC" w:rsidRPr="00E377F3">
        <w:rPr>
          <w:rFonts w:ascii="Times New Roman" w:hAnsi="Times New Roman"/>
          <w:sz w:val="24"/>
          <w:szCs w:val="24"/>
        </w:rPr>
        <w:t>,</w:t>
      </w:r>
      <w:r w:rsidRPr="00E377F3">
        <w:rPr>
          <w:rFonts w:ascii="Times New Roman" w:hAnsi="Times New Roman"/>
          <w:sz w:val="24"/>
          <w:szCs w:val="24"/>
        </w:rPr>
        <w:t xml:space="preserve"> por los respectivos</w:t>
      </w:r>
    </w:p>
    <w:p w14:paraId="5478F283" w14:textId="77777777" w:rsidR="00E405FA" w:rsidRPr="00E377F3" w:rsidRDefault="00E405FA" w:rsidP="00E405FA">
      <w:p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sz w:val="24"/>
          <w:szCs w:val="24"/>
        </w:rPr>
        <w:t>puntos.</w:t>
      </w:r>
    </w:p>
    <w:p w14:paraId="3EFC7B9C" w14:textId="1D9DD0B4" w:rsidR="00E405FA" w:rsidRPr="00E377F3" w:rsidRDefault="00E405FA" w:rsidP="00E405FA">
      <w:p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sz w:val="24"/>
          <w:szCs w:val="24"/>
        </w:rPr>
        <w:t>Una vez obtenidos los puntajes de cada variable, la Nota Final (NF) se calcula sumando los seis puntajes individuales; y, finalmente, se determina la fórmula a utilizar para el hallazgo de P.</w:t>
      </w:r>
    </w:p>
    <w:p w14:paraId="4A5C58D0" w14:textId="77777777" w:rsidR="003613FF" w:rsidRPr="00E377F3" w:rsidRDefault="003613FF" w:rsidP="00E405FA">
      <w:pPr>
        <w:autoSpaceDE w:val="0"/>
        <w:autoSpaceDN w:val="0"/>
        <w:adjustRightInd w:val="0"/>
        <w:spacing w:after="0" w:line="240" w:lineRule="auto"/>
        <w:jc w:val="both"/>
        <w:rPr>
          <w:rFonts w:ascii="Times New Roman" w:hAnsi="Times New Roman"/>
          <w:sz w:val="24"/>
          <w:szCs w:val="24"/>
        </w:rPr>
      </w:pPr>
    </w:p>
    <w:p w14:paraId="771ED859" w14:textId="77777777" w:rsidR="00E405FA" w:rsidRPr="00E377F3" w:rsidRDefault="00E405FA" w:rsidP="00E405FA">
      <w:p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sz w:val="24"/>
          <w:szCs w:val="24"/>
        </w:rPr>
        <w:t>Fuentes:</w:t>
      </w:r>
    </w:p>
    <w:p w14:paraId="755ED5E0" w14:textId="77777777" w:rsidR="00E405FA" w:rsidRPr="00E377F3" w:rsidRDefault="00E405FA" w:rsidP="00E405FA">
      <w:pPr>
        <w:pStyle w:val="Prrafodelista"/>
        <w:numPr>
          <w:ilvl w:val="0"/>
          <w:numId w:val="27"/>
        </w:num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sz w:val="24"/>
          <w:szCs w:val="24"/>
        </w:rPr>
        <w:t>El dato de la variable 1 es suministrado, mensualmente, por el Instituto Nacional de Estadística y Censos (INEC).</w:t>
      </w:r>
    </w:p>
    <w:p w14:paraId="523FE2D7" w14:textId="77777777" w:rsidR="00E405FA" w:rsidRPr="00E377F3" w:rsidRDefault="00E405FA" w:rsidP="00E405FA">
      <w:pPr>
        <w:pStyle w:val="Prrafodelista"/>
        <w:numPr>
          <w:ilvl w:val="0"/>
          <w:numId w:val="27"/>
        </w:numPr>
        <w:autoSpaceDE w:val="0"/>
        <w:autoSpaceDN w:val="0"/>
        <w:adjustRightInd w:val="0"/>
        <w:spacing w:after="0" w:line="240" w:lineRule="auto"/>
        <w:jc w:val="both"/>
        <w:rPr>
          <w:rFonts w:ascii="Times New Roman" w:hAnsi="Times New Roman"/>
          <w:sz w:val="24"/>
          <w:szCs w:val="24"/>
        </w:rPr>
      </w:pPr>
      <w:r w:rsidRPr="00E377F3">
        <w:rPr>
          <w:rFonts w:ascii="Times New Roman" w:hAnsi="Times New Roman"/>
          <w:sz w:val="24"/>
          <w:szCs w:val="24"/>
        </w:rPr>
        <w:t>Los datos de las restantes 5 variables se obtienen de la Encuesta Nacional de Hogares (ENAHO) más reciente, que esté disponible en el momento de hacer el cálculo del porcentaje máximo de ajuste (P).</w:t>
      </w:r>
    </w:p>
    <w:p w14:paraId="77EE44AB" w14:textId="77777777" w:rsidR="00E405FA" w:rsidRPr="00E377F3" w:rsidRDefault="00E405FA" w:rsidP="00E405FA">
      <w:pPr>
        <w:autoSpaceDE w:val="0"/>
        <w:autoSpaceDN w:val="0"/>
        <w:adjustRightInd w:val="0"/>
        <w:spacing w:after="0" w:line="240" w:lineRule="auto"/>
        <w:jc w:val="both"/>
        <w:rPr>
          <w:rFonts w:ascii="Times New Roman" w:hAnsi="Times New Roman"/>
          <w:sz w:val="24"/>
          <w:szCs w:val="24"/>
        </w:rPr>
      </w:pPr>
    </w:p>
    <w:p w14:paraId="37307E21" w14:textId="77777777" w:rsidR="009C3349" w:rsidRPr="00E377F3" w:rsidRDefault="009C3349" w:rsidP="00E405FA">
      <w:pPr>
        <w:autoSpaceDE w:val="0"/>
        <w:autoSpaceDN w:val="0"/>
        <w:adjustRightInd w:val="0"/>
        <w:spacing w:after="0" w:line="480" w:lineRule="auto"/>
        <w:jc w:val="center"/>
        <w:rPr>
          <w:rFonts w:ascii="Times New Roman" w:hAnsi="Times New Roman"/>
          <w:b/>
          <w:bCs/>
          <w:sz w:val="24"/>
          <w:szCs w:val="24"/>
        </w:rPr>
      </w:pPr>
    </w:p>
    <w:p w14:paraId="0ACD49E9" w14:textId="2F32493D" w:rsidR="00E405FA" w:rsidRPr="00E377F3" w:rsidRDefault="00E405FA" w:rsidP="00E405FA">
      <w:pPr>
        <w:autoSpaceDE w:val="0"/>
        <w:autoSpaceDN w:val="0"/>
        <w:adjustRightInd w:val="0"/>
        <w:spacing w:after="0" w:line="480" w:lineRule="auto"/>
        <w:jc w:val="center"/>
        <w:rPr>
          <w:rFonts w:ascii="Times New Roman" w:hAnsi="Times New Roman"/>
          <w:b/>
          <w:bCs/>
          <w:sz w:val="24"/>
          <w:szCs w:val="24"/>
        </w:rPr>
      </w:pPr>
      <w:r w:rsidRPr="00E377F3">
        <w:rPr>
          <w:rFonts w:ascii="Times New Roman" w:hAnsi="Times New Roman"/>
          <w:b/>
          <w:bCs/>
          <w:sz w:val="24"/>
          <w:szCs w:val="24"/>
        </w:rPr>
        <w:t>Tabla N°2</w:t>
      </w:r>
    </w:p>
    <w:p w14:paraId="009937CE" w14:textId="77777777" w:rsidR="00B85FDE" w:rsidRPr="00E377F3" w:rsidRDefault="00B85FDE" w:rsidP="00B85FDE">
      <w:pPr>
        <w:autoSpaceDE w:val="0"/>
        <w:autoSpaceDN w:val="0"/>
        <w:adjustRightInd w:val="0"/>
        <w:spacing w:after="0" w:line="240" w:lineRule="auto"/>
        <w:jc w:val="both"/>
        <w:rPr>
          <w:rFonts w:ascii="Times New Roman" w:hAnsi="Times New Roman" w:cs="Times New Roman"/>
          <w:b/>
          <w:bCs/>
          <w:sz w:val="24"/>
          <w:szCs w:val="24"/>
        </w:rPr>
      </w:pPr>
      <w:r w:rsidRPr="00E377F3">
        <w:rPr>
          <w:rFonts w:ascii="Times New Roman" w:hAnsi="Times New Roman" w:cs="Times New Roman"/>
          <w:sz w:val="24"/>
          <w:szCs w:val="24"/>
        </w:rPr>
        <w:t xml:space="preserve">Ejemplo de la metodología aplicada, con </w:t>
      </w:r>
      <w:r w:rsidRPr="00E377F3">
        <w:rPr>
          <w:rFonts w:ascii="Times New Roman" w:hAnsi="Times New Roman" w:cs="Times New Roman"/>
          <w:b/>
          <w:bCs/>
          <w:sz w:val="24"/>
          <w:szCs w:val="24"/>
        </w:rPr>
        <w:t>I = 16%</w:t>
      </w:r>
    </w:p>
    <w:p w14:paraId="10FE8A3E" w14:textId="77777777" w:rsidR="00E405FA" w:rsidRPr="00E377F3" w:rsidRDefault="00E405FA" w:rsidP="00E405FA">
      <w:pPr>
        <w:autoSpaceDE w:val="0"/>
        <w:autoSpaceDN w:val="0"/>
        <w:adjustRightInd w:val="0"/>
        <w:spacing w:after="0" w:line="480" w:lineRule="auto"/>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E405FA" w:rsidRPr="00E377F3" w14:paraId="4C76DD36" w14:textId="77777777" w:rsidTr="00C960CC">
        <w:tc>
          <w:tcPr>
            <w:tcW w:w="2942" w:type="dxa"/>
            <w:shd w:val="clear" w:color="auto" w:fill="auto"/>
          </w:tcPr>
          <w:p w14:paraId="100A2D0B" w14:textId="77777777" w:rsidR="00E405FA" w:rsidRPr="00E377F3" w:rsidRDefault="00E405FA" w:rsidP="00E86574">
            <w:pPr>
              <w:autoSpaceDE w:val="0"/>
              <w:autoSpaceDN w:val="0"/>
              <w:adjustRightInd w:val="0"/>
              <w:spacing w:after="0" w:line="480" w:lineRule="auto"/>
              <w:jc w:val="center"/>
              <w:rPr>
                <w:rFonts w:ascii="Times New Roman" w:hAnsi="Times New Roman"/>
                <w:b/>
                <w:bCs/>
                <w:sz w:val="24"/>
                <w:szCs w:val="24"/>
              </w:rPr>
            </w:pPr>
            <w:r w:rsidRPr="00E377F3">
              <w:rPr>
                <w:rFonts w:ascii="Times New Roman" w:hAnsi="Times New Roman"/>
                <w:b/>
                <w:bCs/>
                <w:sz w:val="24"/>
                <w:szCs w:val="24"/>
              </w:rPr>
              <w:t>Variable considerada</w:t>
            </w:r>
          </w:p>
        </w:tc>
        <w:tc>
          <w:tcPr>
            <w:tcW w:w="2943" w:type="dxa"/>
            <w:shd w:val="clear" w:color="auto" w:fill="auto"/>
          </w:tcPr>
          <w:p w14:paraId="716EA6AB" w14:textId="77777777" w:rsidR="00E405FA" w:rsidRPr="00E377F3" w:rsidRDefault="00E405FA" w:rsidP="00E86574">
            <w:pPr>
              <w:autoSpaceDE w:val="0"/>
              <w:autoSpaceDN w:val="0"/>
              <w:adjustRightInd w:val="0"/>
              <w:spacing w:after="0" w:line="480" w:lineRule="auto"/>
              <w:jc w:val="center"/>
              <w:rPr>
                <w:rFonts w:ascii="Times New Roman" w:hAnsi="Times New Roman"/>
                <w:b/>
                <w:bCs/>
                <w:sz w:val="24"/>
                <w:szCs w:val="24"/>
              </w:rPr>
            </w:pPr>
            <w:r w:rsidRPr="00E377F3">
              <w:rPr>
                <w:rFonts w:ascii="Times New Roman" w:hAnsi="Times New Roman"/>
                <w:b/>
                <w:bCs/>
                <w:sz w:val="24"/>
                <w:szCs w:val="24"/>
              </w:rPr>
              <w:t>Valores posibles</w:t>
            </w:r>
          </w:p>
        </w:tc>
        <w:tc>
          <w:tcPr>
            <w:tcW w:w="2943" w:type="dxa"/>
            <w:shd w:val="clear" w:color="auto" w:fill="auto"/>
          </w:tcPr>
          <w:p w14:paraId="3CFCE200" w14:textId="77777777" w:rsidR="00E405FA" w:rsidRPr="00E377F3" w:rsidRDefault="00E405FA" w:rsidP="00E86574">
            <w:pPr>
              <w:autoSpaceDE w:val="0"/>
              <w:autoSpaceDN w:val="0"/>
              <w:adjustRightInd w:val="0"/>
              <w:spacing w:after="0" w:line="480" w:lineRule="auto"/>
              <w:jc w:val="center"/>
              <w:rPr>
                <w:rFonts w:ascii="Times New Roman" w:hAnsi="Times New Roman"/>
                <w:b/>
                <w:bCs/>
                <w:sz w:val="24"/>
                <w:szCs w:val="24"/>
              </w:rPr>
            </w:pPr>
            <w:r w:rsidRPr="00E377F3">
              <w:rPr>
                <w:rFonts w:ascii="Times New Roman" w:hAnsi="Times New Roman"/>
                <w:b/>
                <w:bCs/>
                <w:sz w:val="24"/>
                <w:szCs w:val="24"/>
              </w:rPr>
              <w:t>Puntos por obtener</w:t>
            </w:r>
          </w:p>
        </w:tc>
      </w:tr>
      <w:tr w:rsidR="00E405FA" w:rsidRPr="00E377F3" w14:paraId="1139F229" w14:textId="77777777" w:rsidTr="00C960CC">
        <w:trPr>
          <w:trHeight w:val="414"/>
        </w:trPr>
        <w:tc>
          <w:tcPr>
            <w:tcW w:w="2942" w:type="dxa"/>
            <w:shd w:val="clear" w:color="auto" w:fill="auto"/>
          </w:tcPr>
          <w:p w14:paraId="071137D6"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1.</w:t>
            </w:r>
            <w:r w:rsidRPr="00E377F3">
              <w:rPr>
                <w:rFonts w:ascii="Century" w:hAnsi="Century" w:cs="Century"/>
                <w:sz w:val="24"/>
                <w:szCs w:val="24"/>
              </w:rPr>
              <w:t xml:space="preserve"> Variación porcentual del índice de precios de viviendas de interés social, acumulada de los doce meses anteriores al vencimiento de cada año del contrato </w:t>
            </w:r>
            <w:r w:rsidRPr="00E377F3">
              <w:rPr>
                <w:rFonts w:ascii="Century" w:hAnsi="Century" w:cs="Century"/>
                <w:b/>
                <w:bCs/>
                <w:sz w:val="24"/>
                <w:szCs w:val="24"/>
              </w:rPr>
              <w:t>(C</w:t>
            </w:r>
            <w:r w:rsidRPr="00E377F3">
              <w:rPr>
                <w:rFonts w:ascii="Century" w:hAnsi="Century" w:cs="Century"/>
                <w:sz w:val="24"/>
                <w:szCs w:val="24"/>
              </w:rPr>
              <w:t>).</w:t>
            </w:r>
          </w:p>
          <w:p w14:paraId="3A97D0B4" w14:textId="77777777" w:rsidR="00E405FA" w:rsidRPr="00E377F3" w:rsidRDefault="00E405FA" w:rsidP="00BD25C2">
            <w:pPr>
              <w:autoSpaceDE w:val="0"/>
              <w:autoSpaceDN w:val="0"/>
              <w:adjustRightInd w:val="0"/>
              <w:spacing w:after="0" w:line="480" w:lineRule="auto"/>
              <w:jc w:val="both"/>
              <w:rPr>
                <w:rFonts w:ascii="Times New Roman" w:hAnsi="Times New Roman"/>
                <w:sz w:val="24"/>
                <w:szCs w:val="24"/>
              </w:rPr>
            </w:pPr>
          </w:p>
        </w:tc>
        <w:tc>
          <w:tcPr>
            <w:tcW w:w="2943" w:type="dxa"/>
            <w:shd w:val="clear" w:color="auto" w:fill="auto"/>
          </w:tcPr>
          <w:p w14:paraId="6D2E5990"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b/>
                <w:bCs/>
                <w:sz w:val="24"/>
                <w:szCs w:val="24"/>
              </w:rPr>
              <w:t>C</w:t>
            </w:r>
            <w:r w:rsidRPr="00E377F3">
              <w:rPr>
                <w:rFonts w:ascii="Century" w:hAnsi="Century" w:cs="Century"/>
                <w:sz w:val="24"/>
                <w:szCs w:val="24"/>
              </w:rPr>
              <w:t xml:space="preserve"> = 2,06%</w:t>
            </w:r>
          </w:p>
          <w:p w14:paraId="262ED0CA"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p>
          <w:p w14:paraId="6D0CA960" w14:textId="63F7D908" w:rsidR="00E405FA" w:rsidRPr="00E377F3" w:rsidRDefault="00E405FA" w:rsidP="00C960CC">
            <w:pPr>
              <w:autoSpaceDE w:val="0"/>
              <w:autoSpaceDN w:val="0"/>
              <w:adjustRightInd w:val="0"/>
              <w:spacing w:after="0" w:line="480" w:lineRule="auto"/>
              <w:jc w:val="center"/>
              <w:rPr>
                <w:rFonts w:ascii="Century" w:hAnsi="Century"/>
                <w:b/>
                <w:sz w:val="24"/>
                <w:szCs w:val="24"/>
              </w:rPr>
            </w:pPr>
            <w:r w:rsidRPr="00E377F3">
              <w:rPr>
                <w:rFonts w:ascii="Century" w:hAnsi="Century" w:cs="Century"/>
                <w:b/>
                <w:sz w:val="24"/>
                <w:szCs w:val="24"/>
              </w:rPr>
              <w:t xml:space="preserve">C  ≤ </w:t>
            </w:r>
            <w:r w:rsidR="00E86574" w:rsidRPr="00E377F3">
              <w:rPr>
                <w:rFonts w:ascii="Century" w:hAnsi="Century" w:cs="Century"/>
                <w:b/>
                <w:sz w:val="24"/>
                <w:szCs w:val="24"/>
              </w:rPr>
              <w:t xml:space="preserve"> </w:t>
            </w:r>
            <w:r w:rsidRPr="00E377F3">
              <w:rPr>
                <w:rFonts w:ascii="Century" w:hAnsi="Century" w:cs="Century"/>
                <w:b/>
                <w:sz w:val="24"/>
                <w:szCs w:val="24"/>
              </w:rPr>
              <w:t>5%</w:t>
            </w:r>
          </w:p>
        </w:tc>
        <w:tc>
          <w:tcPr>
            <w:tcW w:w="2943" w:type="dxa"/>
            <w:shd w:val="clear" w:color="auto" w:fill="auto"/>
          </w:tcPr>
          <w:p w14:paraId="19CAB978"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sz w:val="24"/>
                <w:szCs w:val="24"/>
              </w:rPr>
              <w:t>1</w:t>
            </w:r>
          </w:p>
        </w:tc>
      </w:tr>
      <w:tr w:rsidR="00E405FA" w:rsidRPr="00E377F3" w14:paraId="323545CC" w14:textId="77777777" w:rsidTr="00C960CC">
        <w:trPr>
          <w:trHeight w:val="428"/>
        </w:trPr>
        <w:tc>
          <w:tcPr>
            <w:tcW w:w="2942" w:type="dxa"/>
            <w:shd w:val="clear" w:color="auto" w:fill="auto"/>
          </w:tcPr>
          <w:p w14:paraId="770BBFE5"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2</w:t>
            </w:r>
            <w:r w:rsidRPr="00E377F3">
              <w:rPr>
                <w:rFonts w:ascii="Century" w:hAnsi="Century" w:cs="Century"/>
                <w:b/>
                <w:bCs/>
                <w:sz w:val="24"/>
                <w:szCs w:val="24"/>
              </w:rPr>
              <w:t>.</w:t>
            </w:r>
            <w:r w:rsidRPr="00E377F3">
              <w:rPr>
                <w:rFonts w:ascii="Century" w:hAnsi="Century" w:cs="Century"/>
                <w:sz w:val="24"/>
                <w:szCs w:val="24"/>
              </w:rPr>
              <w:t xml:space="preserve"> Porcentaje de viviendas alquiladas, según estado físico (</w:t>
            </w:r>
            <w:r w:rsidRPr="00E377F3">
              <w:rPr>
                <w:rFonts w:ascii="Century" w:hAnsi="Century" w:cs="Century"/>
                <w:b/>
                <w:bCs/>
                <w:sz w:val="24"/>
                <w:szCs w:val="24"/>
              </w:rPr>
              <w:t>E)</w:t>
            </w:r>
            <w:r w:rsidRPr="00E377F3">
              <w:rPr>
                <w:rFonts w:ascii="Century" w:hAnsi="Century" w:cs="Century"/>
                <w:sz w:val="24"/>
                <w:szCs w:val="24"/>
              </w:rPr>
              <w:t>. *</w:t>
            </w:r>
          </w:p>
        </w:tc>
        <w:tc>
          <w:tcPr>
            <w:tcW w:w="2943" w:type="dxa"/>
            <w:shd w:val="clear" w:color="auto" w:fill="auto"/>
          </w:tcPr>
          <w:p w14:paraId="18CDAC74"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Malo=8,2% (1)</w:t>
            </w:r>
          </w:p>
          <w:p w14:paraId="255DA626"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Regular =36,1% (2)</w:t>
            </w:r>
          </w:p>
          <w:p w14:paraId="14BBC8A3"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Bueno = 55,7% (3)</w:t>
            </w:r>
          </w:p>
          <w:p w14:paraId="030CDDF9" w14:textId="364DE185" w:rsidR="00E405FA" w:rsidRPr="00E377F3" w:rsidRDefault="00E405FA" w:rsidP="00C960CC">
            <w:pPr>
              <w:autoSpaceDE w:val="0"/>
              <w:autoSpaceDN w:val="0"/>
              <w:adjustRightInd w:val="0"/>
              <w:spacing w:after="0" w:line="480" w:lineRule="auto"/>
              <w:jc w:val="center"/>
              <w:rPr>
                <w:rFonts w:ascii="Century" w:hAnsi="Century"/>
                <w:b/>
                <w:sz w:val="24"/>
                <w:szCs w:val="24"/>
              </w:rPr>
            </w:pPr>
            <w:r w:rsidRPr="00E377F3">
              <w:rPr>
                <w:rFonts w:ascii="Century" w:hAnsi="Century" w:cs="Century"/>
                <w:b/>
                <w:bCs/>
                <w:sz w:val="24"/>
                <w:szCs w:val="24"/>
              </w:rPr>
              <w:t>E</w:t>
            </w:r>
            <w:r w:rsidRPr="00E377F3">
              <w:rPr>
                <w:rFonts w:ascii="Century" w:hAnsi="Century" w:cs="Century"/>
                <w:b/>
                <w:sz w:val="24"/>
                <w:szCs w:val="24"/>
              </w:rPr>
              <w:t xml:space="preserve"> =</w:t>
            </w:r>
            <w:r w:rsidR="00E86574" w:rsidRPr="00E377F3">
              <w:rPr>
                <w:rFonts w:ascii="Century" w:hAnsi="Century" w:cs="Century"/>
                <w:b/>
                <w:sz w:val="24"/>
                <w:szCs w:val="24"/>
              </w:rPr>
              <w:t xml:space="preserve"> </w:t>
            </w:r>
            <w:r w:rsidRPr="00E377F3">
              <w:rPr>
                <w:rFonts w:ascii="Century" w:hAnsi="Century" w:cs="Century"/>
                <w:b/>
                <w:sz w:val="24"/>
                <w:szCs w:val="24"/>
              </w:rPr>
              <w:t>2,5</w:t>
            </w:r>
          </w:p>
        </w:tc>
        <w:tc>
          <w:tcPr>
            <w:tcW w:w="2943" w:type="dxa"/>
            <w:shd w:val="clear" w:color="auto" w:fill="auto"/>
          </w:tcPr>
          <w:p w14:paraId="1FAC5B3F" w14:textId="77777777" w:rsidR="00E405FA" w:rsidRPr="00E377F3" w:rsidRDefault="00E405FA" w:rsidP="00C960CC">
            <w:pPr>
              <w:autoSpaceDE w:val="0"/>
              <w:autoSpaceDN w:val="0"/>
              <w:adjustRightInd w:val="0"/>
              <w:spacing w:after="0" w:line="480" w:lineRule="auto"/>
              <w:jc w:val="center"/>
              <w:rPr>
                <w:rFonts w:ascii="Century" w:hAnsi="Century"/>
                <w:b/>
                <w:bCs/>
                <w:sz w:val="24"/>
                <w:szCs w:val="24"/>
              </w:rPr>
            </w:pPr>
            <w:r w:rsidRPr="00E377F3">
              <w:rPr>
                <w:rFonts w:ascii="Century" w:hAnsi="Century"/>
                <w:b/>
                <w:bCs/>
                <w:sz w:val="24"/>
                <w:szCs w:val="24"/>
              </w:rPr>
              <w:t>2,5</w:t>
            </w:r>
          </w:p>
        </w:tc>
      </w:tr>
      <w:tr w:rsidR="00E405FA" w:rsidRPr="00E377F3" w14:paraId="70427B4F" w14:textId="77777777" w:rsidTr="00C960CC">
        <w:trPr>
          <w:trHeight w:val="378"/>
        </w:trPr>
        <w:tc>
          <w:tcPr>
            <w:tcW w:w="2942" w:type="dxa"/>
            <w:shd w:val="clear" w:color="auto" w:fill="auto"/>
          </w:tcPr>
          <w:p w14:paraId="40C37FA5" w14:textId="77777777" w:rsidR="00E405FA" w:rsidRPr="00E377F3" w:rsidRDefault="00E405FA" w:rsidP="00BD25C2">
            <w:pPr>
              <w:autoSpaceDE w:val="0"/>
              <w:autoSpaceDN w:val="0"/>
              <w:adjustRightInd w:val="0"/>
              <w:spacing w:after="0" w:line="240" w:lineRule="auto"/>
              <w:jc w:val="both"/>
              <w:rPr>
                <w:rFonts w:ascii="Times New Roman" w:hAnsi="Times New Roman"/>
                <w:sz w:val="24"/>
                <w:szCs w:val="24"/>
              </w:rPr>
            </w:pPr>
          </w:p>
          <w:p w14:paraId="2704C34C"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3.</w:t>
            </w:r>
            <w:r w:rsidRPr="00E377F3">
              <w:rPr>
                <w:rFonts w:ascii="Century" w:hAnsi="Century" w:cs="Century"/>
                <w:sz w:val="24"/>
                <w:szCs w:val="24"/>
              </w:rPr>
              <w:t xml:space="preserve"> Porcentaje de viviendas alquiladas, según zona (</w:t>
            </w:r>
            <w:r w:rsidRPr="00E377F3">
              <w:rPr>
                <w:rFonts w:ascii="Century" w:hAnsi="Century" w:cs="Century"/>
                <w:b/>
                <w:bCs/>
                <w:sz w:val="24"/>
                <w:szCs w:val="24"/>
              </w:rPr>
              <w:t>Z</w:t>
            </w:r>
            <w:r w:rsidRPr="00E377F3">
              <w:rPr>
                <w:rFonts w:ascii="Century" w:hAnsi="Century" w:cs="Century"/>
                <w:sz w:val="24"/>
                <w:szCs w:val="24"/>
              </w:rPr>
              <w:t>). *</w:t>
            </w:r>
          </w:p>
          <w:p w14:paraId="7CC4F2BA" w14:textId="77777777" w:rsidR="00E405FA" w:rsidRPr="00E377F3" w:rsidRDefault="00E405FA" w:rsidP="00BD25C2">
            <w:pPr>
              <w:autoSpaceDE w:val="0"/>
              <w:autoSpaceDN w:val="0"/>
              <w:adjustRightInd w:val="0"/>
              <w:spacing w:after="0" w:line="480" w:lineRule="auto"/>
              <w:jc w:val="both"/>
              <w:rPr>
                <w:rFonts w:ascii="Times New Roman" w:hAnsi="Times New Roman"/>
                <w:sz w:val="24"/>
                <w:szCs w:val="24"/>
              </w:rPr>
            </w:pPr>
          </w:p>
        </w:tc>
        <w:tc>
          <w:tcPr>
            <w:tcW w:w="2943" w:type="dxa"/>
            <w:shd w:val="clear" w:color="auto" w:fill="auto"/>
          </w:tcPr>
          <w:p w14:paraId="2AA0CBA6"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lastRenderedPageBreak/>
              <w:t>Rural = 14,8% (1)</w:t>
            </w:r>
          </w:p>
          <w:p w14:paraId="75B15F5E" w14:textId="77777777" w:rsidR="00E405FA" w:rsidRPr="00E377F3" w:rsidRDefault="00E405FA" w:rsidP="00C960CC">
            <w:pPr>
              <w:autoSpaceDE w:val="0"/>
              <w:autoSpaceDN w:val="0"/>
              <w:adjustRightInd w:val="0"/>
              <w:spacing w:after="0" w:line="480" w:lineRule="auto"/>
              <w:jc w:val="center"/>
              <w:rPr>
                <w:rFonts w:ascii="Century" w:hAnsi="Century"/>
                <w:sz w:val="24"/>
                <w:szCs w:val="24"/>
              </w:rPr>
            </w:pPr>
            <w:r w:rsidRPr="00E377F3">
              <w:rPr>
                <w:rFonts w:ascii="Century" w:hAnsi="Century" w:cs="Century"/>
                <w:sz w:val="24"/>
                <w:szCs w:val="24"/>
              </w:rPr>
              <w:t>Urbana = 85,2% (2)</w:t>
            </w:r>
          </w:p>
          <w:p w14:paraId="30A47E9A" w14:textId="64D18E72" w:rsidR="00E405FA" w:rsidRPr="00E377F3" w:rsidRDefault="00E405FA" w:rsidP="00C960CC">
            <w:pPr>
              <w:autoSpaceDE w:val="0"/>
              <w:autoSpaceDN w:val="0"/>
              <w:adjustRightInd w:val="0"/>
              <w:spacing w:after="0" w:line="480" w:lineRule="auto"/>
              <w:jc w:val="center"/>
              <w:rPr>
                <w:rFonts w:ascii="Century" w:hAnsi="Century"/>
                <w:b/>
                <w:sz w:val="24"/>
                <w:szCs w:val="24"/>
              </w:rPr>
            </w:pPr>
            <w:r w:rsidRPr="00E377F3">
              <w:rPr>
                <w:rFonts w:ascii="Century" w:hAnsi="Century" w:cs="Century"/>
                <w:b/>
                <w:bCs/>
                <w:sz w:val="24"/>
                <w:szCs w:val="24"/>
              </w:rPr>
              <w:lastRenderedPageBreak/>
              <w:t>Z</w:t>
            </w:r>
            <w:r w:rsidR="00E86574" w:rsidRPr="00E377F3">
              <w:rPr>
                <w:rFonts w:ascii="Century" w:hAnsi="Century" w:cs="Century"/>
                <w:b/>
                <w:bCs/>
                <w:sz w:val="24"/>
                <w:szCs w:val="24"/>
              </w:rPr>
              <w:t xml:space="preserve"> </w:t>
            </w:r>
            <w:r w:rsidRPr="00E377F3">
              <w:rPr>
                <w:rFonts w:ascii="Century" w:hAnsi="Century" w:cs="Century"/>
                <w:b/>
                <w:bCs/>
                <w:sz w:val="24"/>
                <w:szCs w:val="24"/>
              </w:rPr>
              <w:t>= 1,85</w:t>
            </w:r>
          </w:p>
        </w:tc>
        <w:tc>
          <w:tcPr>
            <w:tcW w:w="2943" w:type="dxa"/>
            <w:shd w:val="clear" w:color="auto" w:fill="auto"/>
          </w:tcPr>
          <w:p w14:paraId="3199B1B0" w14:textId="77777777" w:rsidR="00E405FA" w:rsidRPr="00E377F3" w:rsidRDefault="00E405FA" w:rsidP="00C960CC">
            <w:pPr>
              <w:autoSpaceDE w:val="0"/>
              <w:autoSpaceDN w:val="0"/>
              <w:adjustRightInd w:val="0"/>
              <w:spacing w:after="0" w:line="480" w:lineRule="auto"/>
              <w:jc w:val="center"/>
              <w:rPr>
                <w:rFonts w:ascii="Century" w:hAnsi="Century"/>
                <w:b/>
                <w:bCs/>
                <w:sz w:val="24"/>
                <w:szCs w:val="24"/>
              </w:rPr>
            </w:pPr>
            <w:r w:rsidRPr="00E377F3">
              <w:rPr>
                <w:rFonts w:ascii="Century" w:hAnsi="Century"/>
                <w:b/>
                <w:bCs/>
                <w:sz w:val="24"/>
                <w:szCs w:val="24"/>
              </w:rPr>
              <w:lastRenderedPageBreak/>
              <w:t>1,85</w:t>
            </w:r>
          </w:p>
        </w:tc>
      </w:tr>
      <w:tr w:rsidR="00E405FA" w:rsidRPr="00E377F3" w14:paraId="1F8F5634" w14:textId="77777777" w:rsidTr="00C960CC">
        <w:trPr>
          <w:trHeight w:val="405"/>
        </w:trPr>
        <w:tc>
          <w:tcPr>
            <w:tcW w:w="2942" w:type="dxa"/>
            <w:shd w:val="clear" w:color="auto" w:fill="auto"/>
          </w:tcPr>
          <w:p w14:paraId="418185C0"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4.</w:t>
            </w:r>
            <w:r w:rsidRPr="00E377F3">
              <w:rPr>
                <w:rFonts w:ascii="Times New Roman" w:hAnsi="Times New Roman"/>
                <w:sz w:val="24"/>
                <w:szCs w:val="24"/>
              </w:rPr>
              <w:t xml:space="preserve"> </w:t>
            </w:r>
            <w:r w:rsidRPr="00E377F3">
              <w:rPr>
                <w:rFonts w:ascii="Century" w:hAnsi="Century" w:cs="Century"/>
                <w:sz w:val="24"/>
                <w:szCs w:val="24"/>
              </w:rPr>
              <w:t>Porcentaje de viviendas</w:t>
            </w:r>
          </w:p>
          <w:p w14:paraId="20F500ED"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Century" w:hAnsi="Century" w:cs="Century"/>
                <w:sz w:val="24"/>
                <w:szCs w:val="24"/>
              </w:rPr>
              <w:t>alquiladas, según</w:t>
            </w:r>
            <w:r w:rsidR="00BD25C2" w:rsidRPr="00E377F3">
              <w:rPr>
                <w:rFonts w:ascii="Century" w:hAnsi="Century" w:cs="Century"/>
                <w:sz w:val="24"/>
                <w:szCs w:val="24"/>
              </w:rPr>
              <w:t xml:space="preserve"> </w:t>
            </w:r>
            <w:r w:rsidRPr="00E377F3">
              <w:rPr>
                <w:rFonts w:ascii="Century" w:hAnsi="Century" w:cs="Century"/>
                <w:sz w:val="24"/>
                <w:szCs w:val="24"/>
              </w:rPr>
              <w:t>disponibilidad de servicios</w:t>
            </w:r>
          </w:p>
          <w:p w14:paraId="72314655" w14:textId="77777777" w:rsidR="00E405FA" w:rsidRPr="00E377F3" w:rsidRDefault="00E405FA" w:rsidP="00BD25C2">
            <w:pPr>
              <w:autoSpaceDE w:val="0"/>
              <w:autoSpaceDN w:val="0"/>
              <w:adjustRightInd w:val="0"/>
              <w:spacing w:after="0" w:line="480" w:lineRule="auto"/>
              <w:jc w:val="both"/>
              <w:rPr>
                <w:rFonts w:ascii="Times New Roman" w:hAnsi="Times New Roman"/>
                <w:sz w:val="24"/>
                <w:szCs w:val="24"/>
              </w:rPr>
            </w:pPr>
            <w:r w:rsidRPr="00E377F3">
              <w:rPr>
                <w:rFonts w:ascii="Century" w:hAnsi="Century" w:cs="Century"/>
                <w:sz w:val="24"/>
                <w:szCs w:val="24"/>
              </w:rPr>
              <w:t>básicos (</w:t>
            </w:r>
            <w:r w:rsidRPr="00E377F3">
              <w:rPr>
                <w:rFonts w:ascii="Century" w:hAnsi="Century" w:cs="Century"/>
                <w:b/>
                <w:bCs/>
                <w:sz w:val="24"/>
                <w:szCs w:val="24"/>
              </w:rPr>
              <w:t>S</w:t>
            </w:r>
            <w:r w:rsidRPr="00E377F3">
              <w:rPr>
                <w:rFonts w:ascii="Century" w:hAnsi="Century" w:cs="Century"/>
                <w:sz w:val="24"/>
                <w:szCs w:val="24"/>
              </w:rPr>
              <w:t>).</w:t>
            </w:r>
          </w:p>
        </w:tc>
        <w:tc>
          <w:tcPr>
            <w:tcW w:w="2943" w:type="dxa"/>
            <w:shd w:val="clear" w:color="auto" w:fill="auto"/>
          </w:tcPr>
          <w:p w14:paraId="67641A98" w14:textId="77777777" w:rsidR="00E405FA" w:rsidRPr="00E377F3" w:rsidRDefault="00E405FA" w:rsidP="00C960CC">
            <w:pPr>
              <w:autoSpaceDE w:val="0"/>
              <w:autoSpaceDN w:val="0"/>
              <w:adjustRightInd w:val="0"/>
              <w:spacing w:after="0" w:line="240" w:lineRule="auto"/>
              <w:jc w:val="center"/>
              <w:rPr>
                <w:rFonts w:ascii="Century" w:hAnsi="Century" w:cs="Century"/>
                <w:sz w:val="24"/>
                <w:szCs w:val="24"/>
              </w:rPr>
            </w:pPr>
            <w:r w:rsidRPr="00E377F3">
              <w:rPr>
                <w:rFonts w:ascii="Century" w:hAnsi="Century" w:cs="Century"/>
                <w:sz w:val="24"/>
                <w:szCs w:val="24"/>
              </w:rPr>
              <w:t>No tiene servicios = 0,3% (1)</w:t>
            </w:r>
          </w:p>
          <w:p w14:paraId="065D32D5" w14:textId="77777777" w:rsidR="00E405FA" w:rsidRPr="00E377F3" w:rsidRDefault="00E405FA" w:rsidP="00C960CC">
            <w:pPr>
              <w:autoSpaceDE w:val="0"/>
              <w:autoSpaceDN w:val="0"/>
              <w:adjustRightInd w:val="0"/>
              <w:spacing w:after="0" w:line="240" w:lineRule="auto"/>
              <w:jc w:val="center"/>
              <w:rPr>
                <w:rFonts w:ascii="Century" w:hAnsi="Century" w:cs="Century"/>
                <w:sz w:val="24"/>
                <w:szCs w:val="24"/>
              </w:rPr>
            </w:pPr>
          </w:p>
          <w:p w14:paraId="4073C14A" w14:textId="77777777" w:rsidR="00E405FA" w:rsidRPr="00E377F3" w:rsidRDefault="00E405FA" w:rsidP="00C960CC">
            <w:pPr>
              <w:autoSpaceDE w:val="0"/>
              <w:autoSpaceDN w:val="0"/>
              <w:adjustRightInd w:val="0"/>
              <w:spacing w:after="0" w:line="240" w:lineRule="auto"/>
              <w:jc w:val="center"/>
              <w:rPr>
                <w:rFonts w:ascii="Century" w:hAnsi="Century" w:cs="Century"/>
                <w:sz w:val="24"/>
                <w:szCs w:val="24"/>
              </w:rPr>
            </w:pPr>
            <w:r w:rsidRPr="00E377F3">
              <w:rPr>
                <w:rFonts w:ascii="Century" w:hAnsi="Century" w:cs="Century"/>
                <w:sz w:val="24"/>
                <w:szCs w:val="24"/>
              </w:rPr>
              <w:t>Servicios deficientes = 2,6% (2)</w:t>
            </w:r>
          </w:p>
          <w:p w14:paraId="33CAF84B" w14:textId="77777777" w:rsidR="00E405FA" w:rsidRPr="00E377F3" w:rsidRDefault="00E405FA" w:rsidP="00C960CC">
            <w:pPr>
              <w:autoSpaceDE w:val="0"/>
              <w:autoSpaceDN w:val="0"/>
              <w:adjustRightInd w:val="0"/>
              <w:spacing w:after="0" w:line="240" w:lineRule="auto"/>
              <w:jc w:val="center"/>
              <w:rPr>
                <w:rFonts w:ascii="Century" w:hAnsi="Century" w:cs="Century"/>
                <w:sz w:val="24"/>
                <w:szCs w:val="24"/>
              </w:rPr>
            </w:pPr>
          </w:p>
          <w:p w14:paraId="0CA428DF"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Servicios óptimos = 97,1% (3)</w:t>
            </w:r>
          </w:p>
          <w:p w14:paraId="10C09B67" w14:textId="373AEE86" w:rsidR="00E405FA" w:rsidRPr="00E377F3" w:rsidRDefault="00E405FA" w:rsidP="00C960CC">
            <w:pPr>
              <w:autoSpaceDE w:val="0"/>
              <w:autoSpaceDN w:val="0"/>
              <w:adjustRightInd w:val="0"/>
              <w:spacing w:after="0" w:line="480" w:lineRule="auto"/>
              <w:jc w:val="center"/>
              <w:rPr>
                <w:rFonts w:ascii="Century" w:hAnsi="Century"/>
                <w:b/>
                <w:bCs/>
                <w:sz w:val="24"/>
                <w:szCs w:val="24"/>
              </w:rPr>
            </w:pPr>
            <w:r w:rsidRPr="00E377F3">
              <w:rPr>
                <w:rFonts w:ascii="Century" w:hAnsi="Century" w:cs="Century"/>
                <w:b/>
                <w:bCs/>
                <w:sz w:val="24"/>
                <w:szCs w:val="24"/>
              </w:rPr>
              <w:t>S</w:t>
            </w:r>
            <w:r w:rsidR="00E86574" w:rsidRPr="00E377F3">
              <w:rPr>
                <w:rFonts w:ascii="Century" w:hAnsi="Century" w:cs="Century"/>
                <w:b/>
                <w:bCs/>
                <w:sz w:val="24"/>
                <w:szCs w:val="24"/>
              </w:rPr>
              <w:t xml:space="preserve"> </w:t>
            </w:r>
            <w:r w:rsidRPr="00E377F3">
              <w:rPr>
                <w:rFonts w:ascii="Century" w:hAnsi="Century" w:cs="Century"/>
                <w:b/>
                <w:bCs/>
                <w:sz w:val="24"/>
                <w:szCs w:val="24"/>
              </w:rPr>
              <w:t>=</w:t>
            </w:r>
            <w:r w:rsidR="00E86574" w:rsidRPr="00E377F3">
              <w:rPr>
                <w:rFonts w:ascii="Century" w:hAnsi="Century" w:cs="Century"/>
                <w:b/>
                <w:bCs/>
                <w:sz w:val="24"/>
                <w:szCs w:val="24"/>
              </w:rPr>
              <w:t xml:space="preserve"> </w:t>
            </w:r>
            <w:r w:rsidRPr="00E377F3">
              <w:rPr>
                <w:rFonts w:ascii="Century" w:hAnsi="Century" w:cs="Century"/>
                <w:b/>
                <w:bCs/>
                <w:sz w:val="24"/>
                <w:szCs w:val="24"/>
              </w:rPr>
              <w:t>3</w:t>
            </w:r>
            <w:r w:rsidR="00E86574" w:rsidRPr="00E377F3">
              <w:rPr>
                <w:rFonts w:ascii="Century" w:hAnsi="Century" w:cs="Century"/>
                <w:b/>
                <w:bCs/>
                <w:sz w:val="24"/>
                <w:szCs w:val="24"/>
              </w:rPr>
              <w:t xml:space="preserve"> </w:t>
            </w:r>
          </w:p>
        </w:tc>
        <w:tc>
          <w:tcPr>
            <w:tcW w:w="2943" w:type="dxa"/>
            <w:shd w:val="clear" w:color="auto" w:fill="auto"/>
          </w:tcPr>
          <w:p w14:paraId="48166E39" w14:textId="77777777" w:rsidR="00E405FA" w:rsidRPr="00E377F3" w:rsidRDefault="00E405FA" w:rsidP="00C960CC">
            <w:pPr>
              <w:autoSpaceDE w:val="0"/>
              <w:autoSpaceDN w:val="0"/>
              <w:adjustRightInd w:val="0"/>
              <w:spacing w:after="0" w:line="480" w:lineRule="auto"/>
              <w:jc w:val="center"/>
              <w:rPr>
                <w:rFonts w:ascii="Century" w:hAnsi="Century"/>
                <w:b/>
                <w:bCs/>
                <w:sz w:val="24"/>
                <w:szCs w:val="24"/>
              </w:rPr>
            </w:pPr>
            <w:r w:rsidRPr="00E377F3">
              <w:rPr>
                <w:rFonts w:ascii="Century" w:hAnsi="Century"/>
                <w:b/>
                <w:bCs/>
                <w:sz w:val="24"/>
                <w:szCs w:val="24"/>
              </w:rPr>
              <w:t>3</w:t>
            </w:r>
          </w:p>
        </w:tc>
      </w:tr>
      <w:tr w:rsidR="00E405FA" w:rsidRPr="00E377F3" w14:paraId="726D16F5" w14:textId="77777777" w:rsidTr="00C960CC">
        <w:trPr>
          <w:trHeight w:val="823"/>
        </w:trPr>
        <w:tc>
          <w:tcPr>
            <w:tcW w:w="2942" w:type="dxa"/>
            <w:shd w:val="clear" w:color="auto" w:fill="auto"/>
          </w:tcPr>
          <w:p w14:paraId="58EAC608"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5.</w:t>
            </w:r>
            <w:r w:rsidRPr="00E377F3">
              <w:rPr>
                <w:rFonts w:ascii="Times New Roman" w:hAnsi="Times New Roman"/>
                <w:sz w:val="24"/>
                <w:szCs w:val="24"/>
              </w:rPr>
              <w:t xml:space="preserve"> </w:t>
            </w:r>
            <w:r w:rsidRPr="00E377F3">
              <w:rPr>
                <w:rFonts w:ascii="Century" w:hAnsi="Century" w:cs="Century"/>
                <w:sz w:val="24"/>
                <w:szCs w:val="24"/>
              </w:rPr>
              <w:t>Porcentaje de ingreso</w:t>
            </w:r>
          </w:p>
          <w:p w14:paraId="41BC0323"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Century" w:hAnsi="Century" w:cs="Century"/>
                <w:sz w:val="24"/>
                <w:szCs w:val="24"/>
              </w:rPr>
              <w:t>promedio total del hogar, que</w:t>
            </w:r>
          </w:p>
          <w:p w14:paraId="64D13492"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Century" w:hAnsi="Century" w:cs="Century"/>
                <w:sz w:val="24"/>
                <w:szCs w:val="24"/>
              </w:rPr>
              <w:t xml:space="preserve">gasta en alquiler </w:t>
            </w:r>
            <w:r w:rsidRPr="00E377F3">
              <w:rPr>
                <w:rFonts w:ascii="Century" w:hAnsi="Century" w:cs="Century"/>
                <w:b/>
                <w:bCs/>
                <w:sz w:val="24"/>
                <w:szCs w:val="24"/>
              </w:rPr>
              <w:t>(G</w:t>
            </w:r>
            <w:r w:rsidRPr="00E377F3">
              <w:rPr>
                <w:rFonts w:ascii="Century" w:hAnsi="Century" w:cs="Century"/>
                <w:sz w:val="24"/>
                <w:szCs w:val="24"/>
              </w:rPr>
              <w:t>).</w:t>
            </w:r>
          </w:p>
        </w:tc>
        <w:tc>
          <w:tcPr>
            <w:tcW w:w="2943" w:type="dxa"/>
            <w:shd w:val="clear" w:color="auto" w:fill="auto"/>
          </w:tcPr>
          <w:p w14:paraId="48DAC398" w14:textId="77777777" w:rsidR="00E405FA" w:rsidRPr="00E377F3" w:rsidRDefault="00E405FA" w:rsidP="00C960CC">
            <w:pPr>
              <w:autoSpaceDE w:val="0"/>
              <w:autoSpaceDN w:val="0"/>
              <w:adjustRightInd w:val="0"/>
              <w:spacing w:after="0" w:line="480" w:lineRule="auto"/>
              <w:jc w:val="center"/>
              <w:rPr>
                <w:rFonts w:ascii="Century" w:hAnsi="Century" w:cs="Century"/>
                <w:b/>
                <w:bCs/>
                <w:sz w:val="24"/>
                <w:szCs w:val="24"/>
              </w:rPr>
            </w:pPr>
            <w:r w:rsidRPr="00E377F3">
              <w:rPr>
                <w:rFonts w:ascii="Century" w:hAnsi="Century" w:cs="Century"/>
                <w:b/>
                <w:bCs/>
                <w:sz w:val="24"/>
                <w:szCs w:val="24"/>
              </w:rPr>
              <w:t>G = 15%</w:t>
            </w:r>
          </w:p>
        </w:tc>
        <w:tc>
          <w:tcPr>
            <w:tcW w:w="2943" w:type="dxa"/>
            <w:shd w:val="clear" w:color="auto" w:fill="auto"/>
          </w:tcPr>
          <w:p w14:paraId="0B8E700B" w14:textId="77777777" w:rsidR="00E405FA" w:rsidRPr="00E377F3" w:rsidRDefault="00E405FA" w:rsidP="00C960CC">
            <w:pPr>
              <w:autoSpaceDE w:val="0"/>
              <w:autoSpaceDN w:val="0"/>
              <w:adjustRightInd w:val="0"/>
              <w:spacing w:after="0" w:line="480" w:lineRule="auto"/>
              <w:jc w:val="center"/>
              <w:rPr>
                <w:rFonts w:ascii="Century" w:hAnsi="Century"/>
                <w:b/>
                <w:bCs/>
                <w:sz w:val="24"/>
                <w:szCs w:val="24"/>
              </w:rPr>
            </w:pPr>
            <w:r w:rsidRPr="00E377F3">
              <w:rPr>
                <w:rFonts w:ascii="Century" w:hAnsi="Century"/>
                <w:b/>
                <w:bCs/>
                <w:sz w:val="24"/>
                <w:szCs w:val="24"/>
              </w:rPr>
              <w:t>2</w:t>
            </w:r>
          </w:p>
        </w:tc>
      </w:tr>
      <w:tr w:rsidR="00E405FA" w:rsidRPr="00E377F3" w14:paraId="79E05611" w14:textId="77777777" w:rsidTr="00C960CC">
        <w:trPr>
          <w:trHeight w:val="823"/>
        </w:trPr>
        <w:tc>
          <w:tcPr>
            <w:tcW w:w="2942" w:type="dxa"/>
            <w:shd w:val="clear" w:color="auto" w:fill="auto"/>
          </w:tcPr>
          <w:p w14:paraId="5E16A159"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Times New Roman" w:hAnsi="Times New Roman"/>
                <w:b/>
                <w:bCs/>
                <w:sz w:val="24"/>
                <w:szCs w:val="24"/>
              </w:rPr>
              <w:t xml:space="preserve">6. </w:t>
            </w:r>
            <w:r w:rsidRPr="00E377F3">
              <w:rPr>
                <w:rFonts w:ascii="Century" w:hAnsi="Century" w:cs="Century"/>
                <w:sz w:val="24"/>
                <w:szCs w:val="24"/>
              </w:rPr>
              <w:t>Porcentaje de hogares que</w:t>
            </w:r>
          </w:p>
          <w:p w14:paraId="2538C659" w14:textId="77777777" w:rsidR="00E405FA" w:rsidRPr="00E377F3" w:rsidRDefault="00E405FA" w:rsidP="00BD25C2">
            <w:pPr>
              <w:autoSpaceDE w:val="0"/>
              <w:autoSpaceDN w:val="0"/>
              <w:adjustRightInd w:val="0"/>
              <w:spacing w:after="0" w:line="240" w:lineRule="auto"/>
              <w:jc w:val="both"/>
              <w:rPr>
                <w:rFonts w:ascii="Century" w:hAnsi="Century" w:cs="Century"/>
                <w:sz w:val="24"/>
                <w:szCs w:val="24"/>
              </w:rPr>
            </w:pPr>
            <w:r w:rsidRPr="00E377F3">
              <w:rPr>
                <w:rFonts w:ascii="Century" w:hAnsi="Century" w:cs="Century"/>
                <w:sz w:val="24"/>
                <w:szCs w:val="24"/>
              </w:rPr>
              <w:t>alquilan vivienda, según nivel</w:t>
            </w:r>
            <w:r w:rsidR="00BD25C2" w:rsidRPr="00E377F3">
              <w:rPr>
                <w:rFonts w:ascii="Century" w:hAnsi="Century" w:cs="Century"/>
                <w:sz w:val="24"/>
                <w:szCs w:val="24"/>
              </w:rPr>
              <w:t xml:space="preserve"> </w:t>
            </w:r>
            <w:r w:rsidRPr="00E377F3">
              <w:rPr>
                <w:rFonts w:ascii="Century" w:hAnsi="Century" w:cs="Century"/>
                <w:sz w:val="24"/>
                <w:szCs w:val="24"/>
              </w:rPr>
              <w:t>de pobreza (</w:t>
            </w:r>
            <w:r w:rsidRPr="00E377F3">
              <w:rPr>
                <w:rFonts w:ascii="Century" w:hAnsi="Century" w:cs="Century"/>
                <w:b/>
                <w:bCs/>
                <w:sz w:val="24"/>
                <w:szCs w:val="24"/>
              </w:rPr>
              <w:t>A</w:t>
            </w:r>
            <w:r w:rsidRPr="00E377F3">
              <w:rPr>
                <w:rFonts w:ascii="Century" w:hAnsi="Century" w:cs="Century"/>
                <w:sz w:val="24"/>
                <w:szCs w:val="24"/>
              </w:rPr>
              <w:t>).</w:t>
            </w:r>
          </w:p>
        </w:tc>
        <w:tc>
          <w:tcPr>
            <w:tcW w:w="2943" w:type="dxa"/>
            <w:shd w:val="clear" w:color="auto" w:fill="auto"/>
          </w:tcPr>
          <w:p w14:paraId="0E1E1735"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Pobreza extrema = 4,5% (1)</w:t>
            </w:r>
          </w:p>
          <w:p w14:paraId="336CFBAF"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Pobreza no extrema = 14% (2)</w:t>
            </w:r>
          </w:p>
          <w:p w14:paraId="77004196" w14:textId="77777777" w:rsidR="00E405FA" w:rsidRPr="00E377F3" w:rsidRDefault="00E405FA" w:rsidP="00C960CC">
            <w:pPr>
              <w:autoSpaceDE w:val="0"/>
              <w:autoSpaceDN w:val="0"/>
              <w:adjustRightInd w:val="0"/>
              <w:spacing w:after="0" w:line="480" w:lineRule="auto"/>
              <w:jc w:val="center"/>
              <w:rPr>
                <w:rFonts w:ascii="Century" w:hAnsi="Century" w:cs="Century"/>
                <w:sz w:val="24"/>
                <w:szCs w:val="24"/>
              </w:rPr>
            </w:pPr>
            <w:r w:rsidRPr="00E377F3">
              <w:rPr>
                <w:rFonts w:ascii="Century" w:hAnsi="Century" w:cs="Century"/>
                <w:sz w:val="24"/>
                <w:szCs w:val="24"/>
              </w:rPr>
              <w:t>No pobres = 81,5% (3)</w:t>
            </w:r>
          </w:p>
          <w:p w14:paraId="58206760" w14:textId="6ADD6E1B" w:rsidR="00E405FA" w:rsidRPr="00E377F3" w:rsidRDefault="00E405FA" w:rsidP="003613FF">
            <w:pPr>
              <w:autoSpaceDE w:val="0"/>
              <w:autoSpaceDN w:val="0"/>
              <w:adjustRightInd w:val="0"/>
              <w:spacing w:after="0" w:line="480" w:lineRule="auto"/>
              <w:jc w:val="center"/>
              <w:rPr>
                <w:rFonts w:ascii="Century" w:hAnsi="Century" w:cs="Century"/>
                <w:b/>
                <w:bCs/>
                <w:sz w:val="24"/>
                <w:szCs w:val="24"/>
              </w:rPr>
            </w:pPr>
            <w:r w:rsidRPr="00E377F3">
              <w:rPr>
                <w:rFonts w:ascii="Century" w:hAnsi="Century" w:cs="Century"/>
                <w:b/>
                <w:bCs/>
                <w:sz w:val="24"/>
                <w:szCs w:val="24"/>
              </w:rPr>
              <w:t>A =</w:t>
            </w:r>
            <w:r w:rsidR="00E86574" w:rsidRPr="00E377F3">
              <w:rPr>
                <w:rFonts w:ascii="Century" w:hAnsi="Century" w:cs="Century"/>
                <w:b/>
                <w:bCs/>
                <w:sz w:val="24"/>
                <w:szCs w:val="24"/>
              </w:rPr>
              <w:t xml:space="preserve"> </w:t>
            </w:r>
            <w:r w:rsidRPr="00E377F3">
              <w:rPr>
                <w:rFonts w:ascii="Century" w:hAnsi="Century" w:cs="Century"/>
                <w:b/>
                <w:bCs/>
                <w:sz w:val="24"/>
                <w:szCs w:val="24"/>
              </w:rPr>
              <w:t>2,8</w:t>
            </w:r>
          </w:p>
        </w:tc>
        <w:tc>
          <w:tcPr>
            <w:tcW w:w="2943" w:type="dxa"/>
            <w:shd w:val="clear" w:color="auto" w:fill="auto"/>
          </w:tcPr>
          <w:p w14:paraId="6E2AC54F" w14:textId="77777777" w:rsidR="00E405FA" w:rsidRPr="00E377F3" w:rsidRDefault="00E405FA" w:rsidP="00C960CC">
            <w:pPr>
              <w:autoSpaceDE w:val="0"/>
              <w:autoSpaceDN w:val="0"/>
              <w:adjustRightInd w:val="0"/>
              <w:spacing w:after="0" w:line="480" w:lineRule="auto"/>
              <w:jc w:val="center"/>
              <w:rPr>
                <w:rFonts w:ascii="Century" w:hAnsi="Century"/>
                <w:b/>
                <w:bCs/>
                <w:sz w:val="24"/>
                <w:szCs w:val="24"/>
              </w:rPr>
            </w:pPr>
            <w:r w:rsidRPr="00E377F3">
              <w:rPr>
                <w:rFonts w:ascii="Century" w:hAnsi="Century" w:cs="Century"/>
                <w:b/>
                <w:bCs/>
                <w:sz w:val="24"/>
                <w:szCs w:val="24"/>
              </w:rPr>
              <w:t>2,8</w:t>
            </w:r>
          </w:p>
        </w:tc>
      </w:tr>
    </w:tbl>
    <w:p w14:paraId="00AF7BE7" w14:textId="77777777" w:rsidR="003245AC" w:rsidRPr="00E377F3" w:rsidRDefault="003245AC" w:rsidP="003613FF">
      <w:pPr>
        <w:autoSpaceDE w:val="0"/>
        <w:autoSpaceDN w:val="0"/>
        <w:adjustRightInd w:val="0"/>
        <w:spacing w:after="0" w:line="240" w:lineRule="auto"/>
        <w:jc w:val="both"/>
        <w:rPr>
          <w:rFonts w:eastAsia="Times New Roman" w:cs="Arial"/>
          <w:b/>
          <w:bCs/>
          <w:sz w:val="24"/>
          <w:szCs w:val="24"/>
          <w:lang w:eastAsia="es-CR"/>
        </w:rPr>
      </w:pPr>
    </w:p>
    <w:p w14:paraId="2E52B972" w14:textId="1333E065" w:rsidR="00E405FA" w:rsidRPr="00E377F3" w:rsidRDefault="003245AC" w:rsidP="003613FF">
      <w:pPr>
        <w:autoSpaceDE w:val="0"/>
        <w:autoSpaceDN w:val="0"/>
        <w:adjustRightInd w:val="0"/>
        <w:spacing w:after="0" w:line="240" w:lineRule="auto"/>
        <w:jc w:val="both"/>
        <w:rPr>
          <w:rFonts w:eastAsia="Times New Roman" w:cs="Arial"/>
          <w:b/>
          <w:bCs/>
          <w:sz w:val="24"/>
          <w:szCs w:val="24"/>
          <w:lang w:eastAsia="es-CR"/>
        </w:rPr>
      </w:pPr>
      <w:r w:rsidRPr="00E377F3">
        <w:rPr>
          <w:rFonts w:eastAsia="Times New Roman" w:cs="Arial"/>
          <w:b/>
          <w:bCs/>
          <w:sz w:val="24"/>
          <w:szCs w:val="24"/>
          <w:lang w:eastAsia="es-CR"/>
        </w:rPr>
        <w:t xml:space="preserve">NF = </w:t>
      </w:r>
      <w:r w:rsidRPr="00E377F3">
        <w:rPr>
          <w:rFonts w:eastAsia="Times New Roman" w:cs="Arial"/>
          <w:sz w:val="24"/>
          <w:szCs w:val="24"/>
          <w:lang w:eastAsia="es-CR"/>
        </w:rPr>
        <w:t xml:space="preserve">1 + 2,5 + 1,85 + 3 + 2 + 2,8 </w:t>
      </w:r>
      <w:r w:rsidRPr="00E377F3">
        <w:rPr>
          <w:rFonts w:eastAsia="Times New Roman" w:cs="Arial"/>
          <w:b/>
          <w:bCs/>
          <w:sz w:val="24"/>
          <w:szCs w:val="24"/>
          <w:lang w:eastAsia="es-CR"/>
        </w:rPr>
        <w:t>= 13,15</w:t>
      </w:r>
    </w:p>
    <w:p w14:paraId="4CA51444" w14:textId="508AF289" w:rsidR="003245AC" w:rsidRPr="00E377F3" w:rsidRDefault="003245AC" w:rsidP="003245AC">
      <w:pPr>
        <w:shd w:val="clear" w:color="auto" w:fill="FFFFFF"/>
        <w:spacing w:before="278" w:after="278" w:line="240" w:lineRule="auto"/>
        <w:rPr>
          <w:rFonts w:eastAsia="Times New Roman" w:cs="Arial"/>
          <w:sz w:val="24"/>
          <w:szCs w:val="24"/>
          <w:lang w:eastAsia="es-CR"/>
        </w:rPr>
      </w:pPr>
      <w:r w:rsidRPr="00E377F3">
        <w:rPr>
          <w:rFonts w:eastAsia="Times New Roman" w:cs="Arial"/>
          <w:b/>
          <w:bCs/>
          <w:sz w:val="24"/>
          <w:szCs w:val="24"/>
          <w:lang w:eastAsia="es-CR"/>
        </w:rPr>
        <w:t xml:space="preserve">P = </w:t>
      </w:r>
      <w:r w:rsidRPr="00E377F3">
        <w:rPr>
          <w:rFonts w:eastAsia="Times New Roman" w:cs="Arial"/>
          <w:sz w:val="24"/>
          <w:szCs w:val="24"/>
          <w:lang w:eastAsia="es-CR"/>
        </w:rPr>
        <w:t xml:space="preserve">10% + (50% * (16% - 10%)) </w:t>
      </w:r>
      <w:r w:rsidR="00E86574" w:rsidRPr="00E377F3">
        <w:rPr>
          <w:rFonts w:eastAsia="Times New Roman" w:cs="Arial"/>
          <w:b/>
          <w:bCs/>
          <w:sz w:val="24"/>
          <w:szCs w:val="24"/>
          <w:lang w:eastAsia="es-CR"/>
        </w:rPr>
        <w:t>= 13</w:t>
      </w:r>
      <w:r w:rsidRPr="00E377F3">
        <w:rPr>
          <w:rFonts w:eastAsia="Times New Roman" w:cs="Arial"/>
          <w:b/>
          <w:bCs/>
          <w:sz w:val="24"/>
          <w:szCs w:val="24"/>
          <w:lang w:eastAsia="es-CR"/>
        </w:rPr>
        <w:t>%</w:t>
      </w:r>
    </w:p>
    <w:p w14:paraId="747521F8" w14:textId="77777777" w:rsidR="003245AC" w:rsidRPr="00E377F3" w:rsidRDefault="003245AC" w:rsidP="003613FF">
      <w:pPr>
        <w:autoSpaceDE w:val="0"/>
        <w:autoSpaceDN w:val="0"/>
        <w:adjustRightInd w:val="0"/>
        <w:spacing w:after="0" w:line="240" w:lineRule="auto"/>
        <w:jc w:val="both"/>
        <w:rPr>
          <w:rFonts w:ascii="Times New Roman" w:hAnsi="Times New Roman"/>
          <w:b/>
          <w:bCs/>
          <w:sz w:val="24"/>
          <w:szCs w:val="24"/>
        </w:rPr>
      </w:pPr>
    </w:p>
    <w:sectPr w:rsidR="003245AC" w:rsidRPr="00E377F3" w:rsidSect="000C2E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DC5"/>
    <w:multiLevelType w:val="hybridMultilevel"/>
    <w:tmpl w:val="EA16072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C3C1949"/>
    <w:multiLevelType w:val="hybridMultilevel"/>
    <w:tmpl w:val="B1E8ABA6"/>
    <w:lvl w:ilvl="0" w:tplc="140A0001">
      <w:start w:val="1"/>
      <w:numFmt w:val="bullet"/>
      <w:lvlText w:val=""/>
      <w:lvlJc w:val="left"/>
      <w:pPr>
        <w:ind w:left="720" w:hanging="360"/>
      </w:pPr>
      <w:rPr>
        <w:rFonts w:ascii="Symbol" w:hAnsi="Symbol" w:hint="default"/>
      </w:rPr>
    </w:lvl>
    <w:lvl w:ilvl="1" w:tplc="E35A876C">
      <w:numFmt w:val="bullet"/>
      <w:lvlText w:val="•"/>
      <w:lvlJc w:val="left"/>
      <w:rPr>
        <w:rFonts w:ascii="Century" w:eastAsia="Calibri" w:hAnsi="Century" w:cs="Century"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F7946A8"/>
    <w:multiLevelType w:val="hybridMultilevel"/>
    <w:tmpl w:val="DE6EE5B6"/>
    <w:lvl w:ilvl="0" w:tplc="2EC6D342">
      <w:start w:val="1"/>
      <w:numFmt w:val="decimal"/>
      <w:lvlText w:val="Artículo %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3D33DBE"/>
    <w:multiLevelType w:val="hybridMultilevel"/>
    <w:tmpl w:val="E5825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4C4461"/>
    <w:multiLevelType w:val="hybridMultilevel"/>
    <w:tmpl w:val="8320C6BA"/>
    <w:lvl w:ilvl="0" w:tplc="3342D4EE">
      <w:start w:val="1"/>
      <w:numFmt w:val="upperRoman"/>
      <w:lvlText w:val="Capítulo %1."/>
      <w:lvlJc w:val="center"/>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62E1F14"/>
    <w:multiLevelType w:val="hybridMultilevel"/>
    <w:tmpl w:val="F634B7C4"/>
    <w:lvl w:ilvl="0" w:tplc="CEA29E0E">
      <w:start w:val="1"/>
      <w:numFmt w:val="decimal"/>
      <w:lvlText w:val="%1."/>
      <w:lvlJc w:val="left"/>
      <w:pPr>
        <w:ind w:left="1080" w:hanging="360"/>
      </w:pPr>
      <w:rPr>
        <w:rFonts w:cs="Times New Roman"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1B3D31DB"/>
    <w:multiLevelType w:val="hybridMultilevel"/>
    <w:tmpl w:val="94D2A43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E456D2A"/>
    <w:multiLevelType w:val="hybridMultilevel"/>
    <w:tmpl w:val="80246AA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05F0CD7"/>
    <w:multiLevelType w:val="hybridMultilevel"/>
    <w:tmpl w:val="7B061A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2637366"/>
    <w:multiLevelType w:val="hybridMultilevel"/>
    <w:tmpl w:val="DF4C146E"/>
    <w:lvl w:ilvl="0" w:tplc="943C6C32">
      <w:start w:val="1"/>
      <w:numFmt w:val="decimal"/>
      <w:lvlText w:val="Artículo %1."/>
      <w:lvlJc w:val="left"/>
      <w:pPr>
        <w:ind w:left="720" w:hanging="360"/>
      </w:pPr>
      <w:rPr>
        <w:b w:val="0"/>
        <w:b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D420AFE"/>
    <w:multiLevelType w:val="hybridMultilevel"/>
    <w:tmpl w:val="EC0AFF5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EF47A22"/>
    <w:multiLevelType w:val="hybridMultilevel"/>
    <w:tmpl w:val="775C904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A423787"/>
    <w:multiLevelType w:val="hybridMultilevel"/>
    <w:tmpl w:val="0964818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C4F73EA"/>
    <w:multiLevelType w:val="hybridMultilevel"/>
    <w:tmpl w:val="3D1E04B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EE2360E"/>
    <w:multiLevelType w:val="hybridMultilevel"/>
    <w:tmpl w:val="D1264726"/>
    <w:lvl w:ilvl="0" w:tplc="140A0011">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3AC5C2C"/>
    <w:multiLevelType w:val="hybridMultilevel"/>
    <w:tmpl w:val="9D5EA3B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4C0401B"/>
    <w:multiLevelType w:val="hybridMultilevel"/>
    <w:tmpl w:val="187A739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4FA5F48"/>
    <w:multiLevelType w:val="hybridMultilevel"/>
    <w:tmpl w:val="0B1A295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86F1B4F"/>
    <w:multiLevelType w:val="hybridMultilevel"/>
    <w:tmpl w:val="EB025686"/>
    <w:lvl w:ilvl="0" w:tplc="EF56682A">
      <w:start w:val="1"/>
      <w:numFmt w:val="upperRoman"/>
      <w:lvlText w:val="Sección %1"/>
      <w:lvlJc w:val="left"/>
      <w:pPr>
        <w:ind w:left="1440" w:hanging="360"/>
      </w:pPr>
      <w:rPr>
        <w:rFonts w:hint="default"/>
        <w:b/>
        <w:bCs/>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9" w15:restartNumberingAfterBreak="0">
    <w:nsid w:val="49B26A5B"/>
    <w:multiLevelType w:val="hybridMultilevel"/>
    <w:tmpl w:val="46E89F8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1D04DC"/>
    <w:multiLevelType w:val="hybridMultilevel"/>
    <w:tmpl w:val="340656D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FD72576"/>
    <w:multiLevelType w:val="hybridMultilevel"/>
    <w:tmpl w:val="9A2C235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FE553D4"/>
    <w:multiLevelType w:val="hybridMultilevel"/>
    <w:tmpl w:val="61D8F8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5CDA6320"/>
    <w:multiLevelType w:val="hybridMultilevel"/>
    <w:tmpl w:val="AC3E42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E51033B"/>
    <w:multiLevelType w:val="hybridMultilevel"/>
    <w:tmpl w:val="497ECCD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646C5E33"/>
    <w:multiLevelType w:val="hybridMultilevel"/>
    <w:tmpl w:val="46E89F82"/>
    <w:lvl w:ilvl="0" w:tplc="0C0A0013">
      <w:start w:val="1"/>
      <w:numFmt w:val="upperRoman"/>
      <w:lvlText w:val="%1."/>
      <w:lvlJc w:val="righ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E8686E"/>
    <w:multiLevelType w:val="hybridMultilevel"/>
    <w:tmpl w:val="727A4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E7E1717"/>
    <w:multiLevelType w:val="hybridMultilevel"/>
    <w:tmpl w:val="110AF290"/>
    <w:lvl w:ilvl="0" w:tplc="140A0017">
      <w:start w:val="1"/>
      <w:numFmt w:val="lowerLetter"/>
      <w:lvlText w:val="%1)"/>
      <w:lvlJc w:val="lef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28" w15:restartNumberingAfterBreak="0">
    <w:nsid w:val="739A19C9"/>
    <w:multiLevelType w:val="hybridMultilevel"/>
    <w:tmpl w:val="D42A11A6"/>
    <w:lvl w:ilvl="0" w:tplc="0404806A">
      <w:start w:val="1"/>
      <w:numFmt w:val="upperRoman"/>
      <w:lvlText w:val="Sección %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785E0F67"/>
    <w:multiLevelType w:val="hybridMultilevel"/>
    <w:tmpl w:val="06BA7DF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92411081">
    <w:abstractNumId w:val="4"/>
  </w:num>
  <w:num w:numId="2" w16cid:durableId="1213813042">
    <w:abstractNumId w:val="9"/>
  </w:num>
  <w:num w:numId="3" w16cid:durableId="421219081">
    <w:abstractNumId w:val="18"/>
  </w:num>
  <w:num w:numId="4" w16cid:durableId="291326683">
    <w:abstractNumId w:val="28"/>
  </w:num>
  <w:num w:numId="5" w16cid:durableId="1178615608">
    <w:abstractNumId w:val="7"/>
  </w:num>
  <w:num w:numId="6" w16cid:durableId="301273529">
    <w:abstractNumId w:val="10"/>
  </w:num>
  <w:num w:numId="7" w16cid:durableId="186799822">
    <w:abstractNumId w:val="27"/>
  </w:num>
  <w:num w:numId="8" w16cid:durableId="1805999302">
    <w:abstractNumId w:val="16"/>
  </w:num>
  <w:num w:numId="9" w16cid:durableId="499857601">
    <w:abstractNumId w:val="29"/>
  </w:num>
  <w:num w:numId="10" w16cid:durableId="892498920">
    <w:abstractNumId w:val="24"/>
  </w:num>
  <w:num w:numId="11" w16cid:durableId="532688507">
    <w:abstractNumId w:val="12"/>
  </w:num>
  <w:num w:numId="12" w16cid:durableId="1761833124">
    <w:abstractNumId w:val="20"/>
  </w:num>
  <w:num w:numId="13" w16cid:durableId="650332298">
    <w:abstractNumId w:val="0"/>
  </w:num>
  <w:num w:numId="14" w16cid:durableId="1197155099">
    <w:abstractNumId w:val="6"/>
  </w:num>
  <w:num w:numId="15" w16cid:durableId="780999296">
    <w:abstractNumId w:val="21"/>
  </w:num>
  <w:num w:numId="16" w16cid:durableId="98724070">
    <w:abstractNumId w:val="13"/>
  </w:num>
  <w:num w:numId="17" w16cid:durableId="1706633726">
    <w:abstractNumId w:val="11"/>
  </w:num>
  <w:num w:numId="18" w16cid:durableId="381101158">
    <w:abstractNumId w:val="17"/>
  </w:num>
  <w:num w:numId="19" w16cid:durableId="1678924228">
    <w:abstractNumId w:val="2"/>
  </w:num>
  <w:num w:numId="20" w16cid:durableId="283080538">
    <w:abstractNumId w:val="25"/>
  </w:num>
  <w:num w:numId="21" w16cid:durableId="491873832">
    <w:abstractNumId w:val="19"/>
  </w:num>
  <w:num w:numId="22" w16cid:durableId="1168519693">
    <w:abstractNumId w:val="1"/>
  </w:num>
  <w:num w:numId="23" w16cid:durableId="1452287694">
    <w:abstractNumId w:val="23"/>
  </w:num>
  <w:num w:numId="24" w16cid:durableId="788933078">
    <w:abstractNumId w:val="22"/>
  </w:num>
  <w:num w:numId="25" w16cid:durableId="1199703161">
    <w:abstractNumId w:val="26"/>
  </w:num>
  <w:num w:numId="26" w16cid:durableId="986396505">
    <w:abstractNumId w:val="3"/>
  </w:num>
  <w:num w:numId="27" w16cid:durableId="880556268">
    <w:abstractNumId w:val="8"/>
  </w:num>
  <w:num w:numId="28" w16cid:durableId="826366032">
    <w:abstractNumId w:val="15"/>
  </w:num>
  <w:num w:numId="29" w16cid:durableId="1279869155">
    <w:abstractNumId w:val="5"/>
  </w:num>
  <w:num w:numId="30" w16cid:durableId="185691818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E5E"/>
    <w:rsid w:val="00006B85"/>
    <w:rsid w:val="00011EAC"/>
    <w:rsid w:val="0001382E"/>
    <w:rsid w:val="000139F9"/>
    <w:rsid w:val="000148D3"/>
    <w:rsid w:val="0002065A"/>
    <w:rsid w:val="000258AD"/>
    <w:rsid w:val="0002757A"/>
    <w:rsid w:val="0003264A"/>
    <w:rsid w:val="00033662"/>
    <w:rsid w:val="000361A7"/>
    <w:rsid w:val="00036486"/>
    <w:rsid w:val="000372A8"/>
    <w:rsid w:val="00040A5A"/>
    <w:rsid w:val="000444F9"/>
    <w:rsid w:val="00047DB9"/>
    <w:rsid w:val="000532E2"/>
    <w:rsid w:val="00055F01"/>
    <w:rsid w:val="0006022A"/>
    <w:rsid w:val="000609FD"/>
    <w:rsid w:val="00063B6B"/>
    <w:rsid w:val="00065781"/>
    <w:rsid w:val="00071845"/>
    <w:rsid w:val="00072854"/>
    <w:rsid w:val="00073F03"/>
    <w:rsid w:val="000742C0"/>
    <w:rsid w:val="00075BF7"/>
    <w:rsid w:val="000762B3"/>
    <w:rsid w:val="00076D5F"/>
    <w:rsid w:val="00082356"/>
    <w:rsid w:val="00084308"/>
    <w:rsid w:val="00084B52"/>
    <w:rsid w:val="00085BDF"/>
    <w:rsid w:val="0008768F"/>
    <w:rsid w:val="00097CD4"/>
    <w:rsid w:val="000A0E4A"/>
    <w:rsid w:val="000A1F7F"/>
    <w:rsid w:val="000A24F9"/>
    <w:rsid w:val="000A33A1"/>
    <w:rsid w:val="000A44E9"/>
    <w:rsid w:val="000B16CD"/>
    <w:rsid w:val="000B506B"/>
    <w:rsid w:val="000B7B17"/>
    <w:rsid w:val="000C183D"/>
    <w:rsid w:val="000C26A9"/>
    <w:rsid w:val="000C2E80"/>
    <w:rsid w:val="000C4A8E"/>
    <w:rsid w:val="000C4C00"/>
    <w:rsid w:val="000C5580"/>
    <w:rsid w:val="000C673C"/>
    <w:rsid w:val="000C6A0A"/>
    <w:rsid w:val="000C74CD"/>
    <w:rsid w:val="000C7B38"/>
    <w:rsid w:val="000C7C3E"/>
    <w:rsid w:val="000D096A"/>
    <w:rsid w:val="000D09AA"/>
    <w:rsid w:val="000D4421"/>
    <w:rsid w:val="000D6565"/>
    <w:rsid w:val="000D79DB"/>
    <w:rsid w:val="000E217E"/>
    <w:rsid w:val="000E2257"/>
    <w:rsid w:val="000E3C4A"/>
    <w:rsid w:val="000E3E9E"/>
    <w:rsid w:val="000E70ED"/>
    <w:rsid w:val="000F1902"/>
    <w:rsid w:val="000F4165"/>
    <w:rsid w:val="000F59AE"/>
    <w:rsid w:val="000F5E35"/>
    <w:rsid w:val="00100802"/>
    <w:rsid w:val="00106E7B"/>
    <w:rsid w:val="001077CC"/>
    <w:rsid w:val="0011242A"/>
    <w:rsid w:val="0011557E"/>
    <w:rsid w:val="00122609"/>
    <w:rsid w:val="00123936"/>
    <w:rsid w:val="0012522E"/>
    <w:rsid w:val="001302EB"/>
    <w:rsid w:val="00145810"/>
    <w:rsid w:val="001512FF"/>
    <w:rsid w:val="00151FB0"/>
    <w:rsid w:val="00154EF0"/>
    <w:rsid w:val="001551DF"/>
    <w:rsid w:val="00156557"/>
    <w:rsid w:val="001611F0"/>
    <w:rsid w:val="00161A05"/>
    <w:rsid w:val="0016383E"/>
    <w:rsid w:val="001650BC"/>
    <w:rsid w:val="001653E5"/>
    <w:rsid w:val="00166126"/>
    <w:rsid w:val="00167196"/>
    <w:rsid w:val="00170639"/>
    <w:rsid w:val="00172DAF"/>
    <w:rsid w:val="00174D3C"/>
    <w:rsid w:val="00176271"/>
    <w:rsid w:val="001770D8"/>
    <w:rsid w:val="00177B77"/>
    <w:rsid w:val="00181B2F"/>
    <w:rsid w:val="001841FC"/>
    <w:rsid w:val="00184B3B"/>
    <w:rsid w:val="00184DAB"/>
    <w:rsid w:val="00185AA1"/>
    <w:rsid w:val="00185F55"/>
    <w:rsid w:val="00186837"/>
    <w:rsid w:val="00187FE3"/>
    <w:rsid w:val="001905C3"/>
    <w:rsid w:val="00190C12"/>
    <w:rsid w:val="00190E1E"/>
    <w:rsid w:val="00194922"/>
    <w:rsid w:val="0019669D"/>
    <w:rsid w:val="001A083E"/>
    <w:rsid w:val="001A1D05"/>
    <w:rsid w:val="001A4E7C"/>
    <w:rsid w:val="001A7AA5"/>
    <w:rsid w:val="001C01C4"/>
    <w:rsid w:val="001C223D"/>
    <w:rsid w:val="001C33FD"/>
    <w:rsid w:val="001C5685"/>
    <w:rsid w:val="001C5CE6"/>
    <w:rsid w:val="001C724A"/>
    <w:rsid w:val="001D0835"/>
    <w:rsid w:val="001D089A"/>
    <w:rsid w:val="001D1A9A"/>
    <w:rsid w:val="001D2175"/>
    <w:rsid w:val="001D27B0"/>
    <w:rsid w:val="001D30EB"/>
    <w:rsid w:val="001D3ED7"/>
    <w:rsid w:val="001D43B3"/>
    <w:rsid w:val="001D6E37"/>
    <w:rsid w:val="001E263D"/>
    <w:rsid w:val="001E2AFA"/>
    <w:rsid w:val="001E59FE"/>
    <w:rsid w:val="001E718F"/>
    <w:rsid w:val="001E736A"/>
    <w:rsid w:val="001E7E9F"/>
    <w:rsid w:val="001F1E4F"/>
    <w:rsid w:val="001F3257"/>
    <w:rsid w:val="001F38C3"/>
    <w:rsid w:val="001F423C"/>
    <w:rsid w:val="001F6040"/>
    <w:rsid w:val="001F6256"/>
    <w:rsid w:val="001F668E"/>
    <w:rsid w:val="00205E7E"/>
    <w:rsid w:val="002156B4"/>
    <w:rsid w:val="00215A4E"/>
    <w:rsid w:val="00221592"/>
    <w:rsid w:val="002219F1"/>
    <w:rsid w:val="0022248F"/>
    <w:rsid w:val="00227E36"/>
    <w:rsid w:val="00230193"/>
    <w:rsid w:val="002333C7"/>
    <w:rsid w:val="00234732"/>
    <w:rsid w:val="002359D0"/>
    <w:rsid w:val="00236522"/>
    <w:rsid w:val="002378F6"/>
    <w:rsid w:val="00245FD8"/>
    <w:rsid w:val="00246350"/>
    <w:rsid w:val="0025374D"/>
    <w:rsid w:val="00260172"/>
    <w:rsid w:val="00261B80"/>
    <w:rsid w:val="00263123"/>
    <w:rsid w:val="00265602"/>
    <w:rsid w:val="00265CA4"/>
    <w:rsid w:val="00266117"/>
    <w:rsid w:val="00266B80"/>
    <w:rsid w:val="00272EE8"/>
    <w:rsid w:val="00276A4E"/>
    <w:rsid w:val="002778FB"/>
    <w:rsid w:val="00281D35"/>
    <w:rsid w:val="002836F9"/>
    <w:rsid w:val="002845EB"/>
    <w:rsid w:val="002866AB"/>
    <w:rsid w:val="00287E88"/>
    <w:rsid w:val="00290083"/>
    <w:rsid w:val="00292509"/>
    <w:rsid w:val="00295299"/>
    <w:rsid w:val="002A06CA"/>
    <w:rsid w:val="002A1A55"/>
    <w:rsid w:val="002A37EC"/>
    <w:rsid w:val="002A529E"/>
    <w:rsid w:val="002A60A6"/>
    <w:rsid w:val="002A7062"/>
    <w:rsid w:val="002B0363"/>
    <w:rsid w:val="002B0548"/>
    <w:rsid w:val="002B15A6"/>
    <w:rsid w:val="002B27B9"/>
    <w:rsid w:val="002B2B72"/>
    <w:rsid w:val="002B43A8"/>
    <w:rsid w:val="002B6056"/>
    <w:rsid w:val="002B6D74"/>
    <w:rsid w:val="002B7399"/>
    <w:rsid w:val="002C05DD"/>
    <w:rsid w:val="002C29B4"/>
    <w:rsid w:val="002C3FE5"/>
    <w:rsid w:val="002C4EFC"/>
    <w:rsid w:val="002C74B5"/>
    <w:rsid w:val="002C7551"/>
    <w:rsid w:val="002D223B"/>
    <w:rsid w:val="002D4BDC"/>
    <w:rsid w:val="002E0C2E"/>
    <w:rsid w:val="002E0C4D"/>
    <w:rsid w:val="002E11C7"/>
    <w:rsid w:val="002E11E6"/>
    <w:rsid w:val="002E3451"/>
    <w:rsid w:val="002E36A3"/>
    <w:rsid w:val="002E74BB"/>
    <w:rsid w:val="002F0449"/>
    <w:rsid w:val="002F0CC0"/>
    <w:rsid w:val="002F6F37"/>
    <w:rsid w:val="0030004C"/>
    <w:rsid w:val="00300CE6"/>
    <w:rsid w:val="0030144F"/>
    <w:rsid w:val="00302A29"/>
    <w:rsid w:val="00303FFB"/>
    <w:rsid w:val="0030416B"/>
    <w:rsid w:val="00304660"/>
    <w:rsid w:val="00304B4D"/>
    <w:rsid w:val="00307867"/>
    <w:rsid w:val="00310E63"/>
    <w:rsid w:val="00311FE5"/>
    <w:rsid w:val="003164B8"/>
    <w:rsid w:val="00321439"/>
    <w:rsid w:val="00323531"/>
    <w:rsid w:val="00323CDE"/>
    <w:rsid w:val="003245AC"/>
    <w:rsid w:val="003251B2"/>
    <w:rsid w:val="003313D4"/>
    <w:rsid w:val="00333404"/>
    <w:rsid w:val="00333D99"/>
    <w:rsid w:val="00337B30"/>
    <w:rsid w:val="0034032A"/>
    <w:rsid w:val="00340403"/>
    <w:rsid w:val="003435E9"/>
    <w:rsid w:val="003438C7"/>
    <w:rsid w:val="00344A5C"/>
    <w:rsid w:val="00346935"/>
    <w:rsid w:val="00350530"/>
    <w:rsid w:val="003509FF"/>
    <w:rsid w:val="003511DD"/>
    <w:rsid w:val="00352A47"/>
    <w:rsid w:val="00353587"/>
    <w:rsid w:val="00360566"/>
    <w:rsid w:val="003613FF"/>
    <w:rsid w:val="00362029"/>
    <w:rsid w:val="00362767"/>
    <w:rsid w:val="00364309"/>
    <w:rsid w:val="003724B4"/>
    <w:rsid w:val="003737A3"/>
    <w:rsid w:val="003753AF"/>
    <w:rsid w:val="003854AF"/>
    <w:rsid w:val="0038683E"/>
    <w:rsid w:val="00390958"/>
    <w:rsid w:val="00392175"/>
    <w:rsid w:val="003966E4"/>
    <w:rsid w:val="00397826"/>
    <w:rsid w:val="003A27F0"/>
    <w:rsid w:val="003A6667"/>
    <w:rsid w:val="003B02BA"/>
    <w:rsid w:val="003B310E"/>
    <w:rsid w:val="003B3184"/>
    <w:rsid w:val="003B5F01"/>
    <w:rsid w:val="003C298F"/>
    <w:rsid w:val="003C4DC0"/>
    <w:rsid w:val="003C5A8E"/>
    <w:rsid w:val="003C64E3"/>
    <w:rsid w:val="003D25C7"/>
    <w:rsid w:val="003D45A0"/>
    <w:rsid w:val="003D52EB"/>
    <w:rsid w:val="003D7070"/>
    <w:rsid w:val="003E4FCD"/>
    <w:rsid w:val="003E5146"/>
    <w:rsid w:val="003E75CC"/>
    <w:rsid w:val="003E7B28"/>
    <w:rsid w:val="003F054B"/>
    <w:rsid w:val="003F3F2D"/>
    <w:rsid w:val="003F41B4"/>
    <w:rsid w:val="003F41B7"/>
    <w:rsid w:val="00411219"/>
    <w:rsid w:val="0041392E"/>
    <w:rsid w:val="0041503B"/>
    <w:rsid w:val="00416ACD"/>
    <w:rsid w:val="00417B08"/>
    <w:rsid w:val="00424947"/>
    <w:rsid w:val="00425F97"/>
    <w:rsid w:val="004266B7"/>
    <w:rsid w:val="004345DD"/>
    <w:rsid w:val="00442DDB"/>
    <w:rsid w:val="00443970"/>
    <w:rsid w:val="0044558B"/>
    <w:rsid w:val="004479DB"/>
    <w:rsid w:val="004512FE"/>
    <w:rsid w:val="00451B30"/>
    <w:rsid w:val="0045217A"/>
    <w:rsid w:val="004528F6"/>
    <w:rsid w:val="00454875"/>
    <w:rsid w:val="00457AEE"/>
    <w:rsid w:val="00463432"/>
    <w:rsid w:val="00465362"/>
    <w:rsid w:val="00466E5C"/>
    <w:rsid w:val="004707AA"/>
    <w:rsid w:val="00472DB8"/>
    <w:rsid w:val="00474C9B"/>
    <w:rsid w:val="00475207"/>
    <w:rsid w:val="00475C89"/>
    <w:rsid w:val="00476A74"/>
    <w:rsid w:val="004802A6"/>
    <w:rsid w:val="004809B4"/>
    <w:rsid w:val="004810BA"/>
    <w:rsid w:val="004842D7"/>
    <w:rsid w:val="00485B21"/>
    <w:rsid w:val="00487D95"/>
    <w:rsid w:val="00493FF6"/>
    <w:rsid w:val="0049493A"/>
    <w:rsid w:val="00496CD8"/>
    <w:rsid w:val="004975C7"/>
    <w:rsid w:val="004A1A8A"/>
    <w:rsid w:val="004A345A"/>
    <w:rsid w:val="004A367D"/>
    <w:rsid w:val="004A3839"/>
    <w:rsid w:val="004A3F8D"/>
    <w:rsid w:val="004A4315"/>
    <w:rsid w:val="004A4C84"/>
    <w:rsid w:val="004A606D"/>
    <w:rsid w:val="004B0D26"/>
    <w:rsid w:val="004B6A1C"/>
    <w:rsid w:val="004C0A2E"/>
    <w:rsid w:val="004C161A"/>
    <w:rsid w:val="004C6369"/>
    <w:rsid w:val="004D0B7E"/>
    <w:rsid w:val="004D278D"/>
    <w:rsid w:val="004D3378"/>
    <w:rsid w:val="004D3B44"/>
    <w:rsid w:val="004D40FE"/>
    <w:rsid w:val="004D5258"/>
    <w:rsid w:val="004D64FB"/>
    <w:rsid w:val="004D7912"/>
    <w:rsid w:val="004D7950"/>
    <w:rsid w:val="004E2845"/>
    <w:rsid w:val="004F1583"/>
    <w:rsid w:val="004F1AA0"/>
    <w:rsid w:val="004F36D3"/>
    <w:rsid w:val="004F5857"/>
    <w:rsid w:val="004F5F14"/>
    <w:rsid w:val="004F7763"/>
    <w:rsid w:val="00504BAA"/>
    <w:rsid w:val="00505660"/>
    <w:rsid w:val="005063C8"/>
    <w:rsid w:val="005108A6"/>
    <w:rsid w:val="00513CA6"/>
    <w:rsid w:val="00513D4D"/>
    <w:rsid w:val="00515033"/>
    <w:rsid w:val="00517BCC"/>
    <w:rsid w:val="0052093A"/>
    <w:rsid w:val="00537CF4"/>
    <w:rsid w:val="005400D8"/>
    <w:rsid w:val="00542E05"/>
    <w:rsid w:val="00543E46"/>
    <w:rsid w:val="005478F5"/>
    <w:rsid w:val="00551CFA"/>
    <w:rsid w:val="00553F7F"/>
    <w:rsid w:val="00555B3B"/>
    <w:rsid w:val="00556CC9"/>
    <w:rsid w:val="00557225"/>
    <w:rsid w:val="00564F53"/>
    <w:rsid w:val="00566AA0"/>
    <w:rsid w:val="00574B0B"/>
    <w:rsid w:val="005837F9"/>
    <w:rsid w:val="005854EE"/>
    <w:rsid w:val="0058782F"/>
    <w:rsid w:val="00587E13"/>
    <w:rsid w:val="0059017F"/>
    <w:rsid w:val="00592506"/>
    <w:rsid w:val="00594B43"/>
    <w:rsid w:val="00596290"/>
    <w:rsid w:val="00597948"/>
    <w:rsid w:val="005A0123"/>
    <w:rsid w:val="005A1CD9"/>
    <w:rsid w:val="005A209D"/>
    <w:rsid w:val="005A4B69"/>
    <w:rsid w:val="005B0219"/>
    <w:rsid w:val="005B702A"/>
    <w:rsid w:val="005C0459"/>
    <w:rsid w:val="005C1E3D"/>
    <w:rsid w:val="005C35BA"/>
    <w:rsid w:val="005C4971"/>
    <w:rsid w:val="005C4F29"/>
    <w:rsid w:val="005D176E"/>
    <w:rsid w:val="005D22A6"/>
    <w:rsid w:val="005D64BA"/>
    <w:rsid w:val="005D7B00"/>
    <w:rsid w:val="005E032C"/>
    <w:rsid w:val="005E16D9"/>
    <w:rsid w:val="005E51B0"/>
    <w:rsid w:val="005E6E1D"/>
    <w:rsid w:val="005F1BC8"/>
    <w:rsid w:val="005F374C"/>
    <w:rsid w:val="005F46EE"/>
    <w:rsid w:val="005F6C98"/>
    <w:rsid w:val="00602C20"/>
    <w:rsid w:val="00603532"/>
    <w:rsid w:val="00613D6B"/>
    <w:rsid w:val="0061451F"/>
    <w:rsid w:val="00615C11"/>
    <w:rsid w:val="00615C14"/>
    <w:rsid w:val="006215E7"/>
    <w:rsid w:val="00625D7F"/>
    <w:rsid w:val="00626082"/>
    <w:rsid w:val="006322DE"/>
    <w:rsid w:val="0063478E"/>
    <w:rsid w:val="006354DD"/>
    <w:rsid w:val="00641F04"/>
    <w:rsid w:val="0064295C"/>
    <w:rsid w:val="006433F9"/>
    <w:rsid w:val="00643762"/>
    <w:rsid w:val="0064378E"/>
    <w:rsid w:val="00644067"/>
    <w:rsid w:val="00644D57"/>
    <w:rsid w:val="00646B0C"/>
    <w:rsid w:val="0065006D"/>
    <w:rsid w:val="0065448B"/>
    <w:rsid w:val="00664CEC"/>
    <w:rsid w:val="00667330"/>
    <w:rsid w:val="00667965"/>
    <w:rsid w:val="00667BD5"/>
    <w:rsid w:val="00671FA8"/>
    <w:rsid w:val="00676AAF"/>
    <w:rsid w:val="00686A10"/>
    <w:rsid w:val="0069036B"/>
    <w:rsid w:val="00693121"/>
    <w:rsid w:val="00693A41"/>
    <w:rsid w:val="006952C7"/>
    <w:rsid w:val="006972AA"/>
    <w:rsid w:val="006A0F9E"/>
    <w:rsid w:val="006A1AC8"/>
    <w:rsid w:val="006A4A3D"/>
    <w:rsid w:val="006B1D2D"/>
    <w:rsid w:val="006B28B3"/>
    <w:rsid w:val="006B3A49"/>
    <w:rsid w:val="006B5182"/>
    <w:rsid w:val="006B61BC"/>
    <w:rsid w:val="006C3866"/>
    <w:rsid w:val="006C3B20"/>
    <w:rsid w:val="006C3C27"/>
    <w:rsid w:val="006C4979"/>
    <w:rsid w:val="006D0300"/>
    <w:rsid w:val="006D3476"/>
    <w:rsid w:val="006D436C"/>
    <w:rsid w:val="006D4E3C"/>
    <w:rsid w:val="006D5C4A"/>
    <w:rsid w:val="006D61B0"/>
    <w:rsid w:val="006E0910"/>
    <w:rsid w:val="006E484D"/>
    <w:rsid w:val="006E530C"/>
    <w:rsid w:val="006E6037"/>
    <w:rsid w:val="006E6202"/>
    <w:rsid w:val="006E77AE"/>
    <w:rsid w:val="006F41E4"/>
    <w:rsid w:val="00705D97"/>
    <w:rsid w:val="00712BD2"/>
    <w:rsid w:val="00713F73"/>
    <w:rsid w:val="0071462C"/>
    <w:rsid w:val="007161B0"/>
    <w:rsid w:val="007202F8"/>
    <w:rsid w:val="007219D5"/>
    <w:rsid w:val="00725378"/>
    <w:rsid w:val="00725FEA"/>
    <w:rsid w:val="00733735"/>
    <w:rsid w:val="007367A8"/>
    <w:rsid w:val="00737F49"/>
    <w:rsid w:val="00741081"/>
    <w:rsid w:val="0074176F"/>
    <w:rsid w:val="00745669"/>
    <w:rsid w:val="0074671F"/>
    <w:rsid w:val="0075036B"/>
    <w:rsid w:val="00751F20"/>
    <w:rsid w:val="00752FA2"/>
    <w:rsid w:val="00753E57"/>
    <w:rsid w:val="007553BE"/>
    <w:rsid w:val="00755BFE"/>
    <w:rsid w:val="00756AA4"/>
    <w:rsid w:val="00761C35"/>
    <w:rsid w:val="00767178"/>
    <w:rsid w:val="00771045"/>
    <w:rsid w:val="0077166B"/>
    <w:rsid w:val="00771C83"/>
    <w:rsid w:val="00772397"/>
    <w:rsid w:val="00772AF6"/>
    <w:rsid w:val="00772C9A"/>
    <w:rsid w:val="00772DA5"/>
    <w:rsid w:val="00774D88"/>
    <w:rsid w:val="007779DB"/>
    <w:rsid w:val="00780BBA"/>
    <w:rsid w:val="00781CE8"/>
    <w:rsid w:val="00783FA0"/>
    <w:rsid w:val="00784942"/>
    <w:rsid w:val="00790439"/>
    <w:rsid w:val="00790879"/>
    <w:rsid w:val="007915A2"/>
    <w:rsid w:val="00791629"/>
    <w:rsid w:val="0079212E"/>
    <w:rsid w:val="00793193"/>
    <w:rsid w:val="007962D9"/>
    <w:rsid w:val="007A3696"/>
    <w:rsid w:val="007A7797"/>
    <w:rsid w:val="007A7B5F"/>
    <w:rsid w:val="007B1734"/>
    <w:rsid w:val="007B2370"/>
    <w:rsid w:val="007B3922"/>
    <w:rsid w:val="007B4148"/>
    <w:rsid w:val="007C445B"/>
    <w:rsid w:val="007C6144"/>
    <w:rsid w:val="007C67E6"/>
    <w:rsid w:val="007D0E2B"/>
    <w:rsid w:val="007D574B"/>
    <w:rsid w:val="007E00DE"/>
    <w:rsid w:val="007E15ED"/>
    <w:rsid w:val="007E1949"/>
    <w:rsid w:val="007E20F2"/>
    <w:rsid w:val="007E2C94"/>
    <w:rsid w:val="007E4683"/>
    <w:rsid w:val="007F1549"/>
    <w:rsid w:val="007F1732"/>
    <w:rsid w:val="007F21D9"/>
    <w:rsid w:val="007F28DC"/>
    <w:rsid w:val="007F53E3"/>
    <w:rsid w:val="007F76E0"/>
    <w:rsid w:val="00803BFC"/>
    <w:rsid w:val="008054CB"/>
    <w:rsid w:val="008058CF"/>
    <w:rsid w:val="00812B82"/>
    <w:rsid w:val="00812F50"/>
    <w:rsid w:val="00813B13"/>
    <w:rsid w:val="00814248"/>
    <w:rsid w:val="00815130"/>
    <w:rsid w:val="008208F0"/>
    <w:rsid w:val="00820D4D"/>
    <w:rsid w:val="0082189D"/>
    <w:rsid w:val="008223A6"/>
    <w:rsid w:val="00826DA3"/>
    <w:rsid w:val="008314D2"/>
    <w:rsid w:val="00832E26"/>
    <w:rsid w:val="00836F30"/>
    <w:rsid w:val="008449EE"/>
    <w:rsid w:val="0085101A"/>
    <w:rsid w:val="0085268E"/>
    <w:rsid w:val="00853CC9"/>
    <w:rsid w:val="00854338"/>
    <w:rsid w:val="00857996"/>
    <w:rsid w:val="00860711"/>
    <w:rsid w:val="00863E43"/>
    <w:rsid w:val="008643B1"/>
    <w:rsid w:val="00867E74"/>
    <w:rsid w:val="00870D45"/>
    <w:rsid w:val="008738D9"/>
    <w:rsid w:val="00873A98"/>
    <w:rsid w:val="00874ADE"/>
    <w:rsid w:val="00876179"/>
    <w:rsid w:val="00877CF0"/>
    <w:rsid w:val="0088003E"/>
    <w:rsid w:val="00881418"/>
    <w:rsid w:val="00882B59"/>
    <w:rsid w:val="00883942"/>
    <w:rsid w:val="008907A3"/>
    <w:rsid w:val="00891092"/>
    <w:rsid w:val="008913FD"/>
    <w:rsid w:val="008915AB"/>
    <w:rsid w:val="00892533"/>
    <w:rsid w:val="00893271"/>
    <w:rsid w:val="00894FCE"/>
    <w:rsid w:val="008950AE"/>
    <w:rsid w:val="00896956"/>
    <w:rsid w:val="00896EA8"/>
    <w:rsid w:val="008A18C4"/>
    <w:rsid w:val="008A5014"/>
    <w:rsid w:val="008A6735"/>
    <w:rsid w:val="008B2AD0"/>
    <w:rsid w:val="008B5CA5"/>
    <w:rsid w:val="008B6B95"/>
    <w:rsid w:val="008B77D1"/>
    <w:rsid w:val="008C34D7"/>
    <w:rsid w:val="008C3CF6"/>
    <w:rsid w:val="008C5E0B"/>
    <w:rsid w:val="008D1E70"/>
    <w:rsid w:val="008D5DCD"/>
    <w:rsid w:val="008D5F76"/>
    <w:rsid w:val="008E0441"/>
    <w:rsid w:val="008E435F"/>
    <w:rsid w:val="008E5BC5"/>
    <w:rsid w:val="008E5E2A"/>
    <w:rsid w:val="008E6E35"/>
    <w:rsid w:val="008F1E85"/>
    <w:rsid w:val="008F4A58"/>
    <w:rsid w:val="008F68F5"/>
    <w:rsid w:val="00901CDA"/>
    <w:rsid w:val="00903E5E"/>
    <w:rsid w:val="00903F71"/>
    <w:rsid w:val="0090419C"/>
    <w:rsid w:val="00913CEA"/>
    <w:rsid w:val="00916F48"/>
    <w:rsid w:val="00920302"/>
    <w:rsid w:val="009265C1"/>
    <w:rsid w:val="00927093"/>
    <w:rsid w:val="00927550"/>
    <w:rsid w:val="00930514"/>
    <w:rsid w:val="00932C8B"/>
    <w:rsid w:val="00933208"/>
    <w:rsid w:val="009404C4"/>
    <w:rsid w:val="00940DF9"/>
    <w:rsid w:val="009428B8"/>
    <w:rsid w:val="00946559"/>
    <w:rsid w:val="009548A9"/>
    <w:rsid w:val="009549F1"/>
    <w:rsid w:val="00955C4E"/>
    <w:rsid w:val="00955E1E"/>
    <w:rsid w:val="00956E99"/>
    <w:rsid w:val="00957D1E"/>
    <w:rsid w:val="00960B8D"/>
    <w:rsid w:val="0096133C"/>
    <w:rsid w:val="00966CB8"/>
    <w:rsid w:val="00972243"/>
    <w:rsid w:val="00974145"/>
    <w:rsid w:val="00980821"/>
    <w:rsid w:val="0098630F"/>
    <w:rsid w:val="009863B9"/>
    <w:rsid w:val="00987146"/>
    <w:rsid w:val="00987A83"/>
    <w:rsid w:val="00994976"/>
    <w:rsid w:val="009A0D57"/>
    <w:rsid w:val="009A1CA6"/>
    <w:rsid w:val="009A2015"/>
    <w:rsid w:val="009A3708"/>
    <w:rsid w:val="009A4189"/>
    <w:rsid w:val="009A4F83"/>
    <w:rsid w:val="009A6837"/>
    <w:rsid w:val="009A6DFD"/>
    <w:rsid w:val="009A7D86"/>
    <w:rsid w:val="009B119E"/>
    <w:rsid w:val="009B346C"/>
    <w:rsid w:val="009B4C0B"/>
    <w:rsid w:val="009C1F10"/>
    <w:rsid w:val="009C275F"/>
    <w:rsid w:val="009C310F"/>
    <w:rsid w:val="009C3349"/>
    <w:rsid w:val="009C3CCB"/>
    <w:rsid w:val="009D063B"/>
    <w:rsid w:val="009D0D12"/>
    <w:rsid w:val="009D5DC2"/>
    <w:rsid w:val="009D5F39"/>
    <w:rsid w:val="009D6017"/>
    <w:rsid w:val="009E0C2C"/>
    <w:rsid w:val="009E3389"/>
    <w:rsid w:val="009E4F47"/>
    <w:rsid w:val="009E58A3"/>
    <w:rsid w:val="009E6D4E"/>
    <w:rsid w:val="009E7E7C"/>
    <w:rsid w:val="009F19D1"/>
    <w:rsid w:val="009F2D2A"/>
    <w:rsid w:val="009F698F"/>
    <w:rsid w:val="00A03C30"/>
    <w:rsid w:val="00A040DB"/>
    <w:rsid w:val="00A044AF"/>
    <w:rsid w:val="00A05EB8"/>
    <w:rsid w:val="00A114E6"/>
    <w:rsid w:val="00A12455"/>
    <w:rsid w:val="00A12A32"/>
    <w:rsid w:val="00A200AA"/>
    <w:rsid w:val="00A24FA6"/>
    <w:rsid w:val="00A32964"/>
    <w:rsid w:val="00A32A18"/>
    <w:rsid w:val="00A33768"/>
    <w:rsid w:val="00A354B5"/>
    <w:rsid w:val="00A366C6"/>
    <w:rsid w:val="00A36ECC"/>
    <w:rsid w:val="00A44651"/>
    <w:rsid w:val="00A45A83"/>
    <w:rsid w:val="00A50F80"/>
    <w:rsid w:val="00A52748"/>
    <w:rsid w:val="00A52B4B"/>
    <w:rsid w:val="00A53FCB"/>
    <w:rsid w:val="00A57319"/>
    <w:rsid w:val="00A60B0B"/>
    <w:rsid w:val="00A61303"/>
    <w:rsid w:val="00A61643"/>
    <w:rsid w:val="00A64A7E"/>
    <w:rsid w:val="00A70E11"/>
    <w:rsid w:val="00A72309"/>
    <w:rsid w:val="00A732CC"/>
    <w:rsid w:val="00A80D21"/>
    <w:rsid w:val="00A848AA"/>
    <w:rsid w:val="00A85B90"/>
    <w:rsid w:val="00A86097"/>
    <w:rsid w:val="00A87089"/>
    <w:rsid w:val="00A87D2B"/>
    <w:rsid w:val="00A933F0"/>
    <w:rsid w:val="00A96E7C"/>
    <w:rsid w:val="00AA0600"/>
    <w:rsid w:val="00AA0B73"/>
    <w:rsid w:val="00AA14EF"/>
    <w:rsid w:val="00AA249C"/>
    <w:rsid w:val="00AA5795"/>
    <w:rsid w:val="00AA579B"/>
    <w:rsid w:val="00AA6B1F"/>
    <w:rsid w:val="00AB1855"/>
    <w:rsid w:val="00AB272D"/>
    <w:rsid w:val="00AB48C2"/>
    <w:rsid w:val="00AB5114"/>
    <w:rsid w:val="00AB70F8"/>
    <w:rsid w:val="00AC1D99"/>
    <w:rsid w:val="00AC544C"/>
    <w:rsid w:val="00AC6213"/>
    <w:rsid w:val="00AC6E7E"/>
    <w:rsid w:val="00AC79BD"/>
    <w:rsid w:val="00AC7C14"/>
    <w:rsid w:val="00AD1E96"/>
    <w:rsid w:val="00AD1F52"/>
    <w:rsid w:val="00AD4134"/>
    <w:rsid w:val="00AD52A8"/>
    <w:rsid w:val="00AD72F2"/>
    <w:rsid w:val="00AD7A0F"/>
    <w:rsid w:val="00AE0E45"/>
    <w:rsid w:val="00AE108A"/>
    <w:rsid w:val="00AF10DF"/>
    <w:rsid w:val="00AF1998"/>
    <w:rsid w:val="00AF3500"/>
    <w:rsid w:val="00AF3665"/>
    <w:rsid w:val="00AF70C0"/>
    <w:rsid w:val="00AF7559"/>
    <w:rsid w:val="00B0051C"/>
    <w:rsid w:val="00B0118F"/>
    <w:rsid w:val="00B019FE"/>
    <w:rsid w:val="00B06170"/>
    <w:rsid w:val="00B06285"/>
    <w:rsid w:val="00B06B46"/>
    <w:rsid w:val="00B072A0"/>
    <w:rsid w:val="00B103DC"/>
    <w:rsid w:val="00B12C37"/>
    <w:rsid w:val="00B15348"/>
    <w:rsid w:val="00B177BC"/>
    <w:rsid w:val="00B17CBA"/>
    <w:rsid w:val="00B2208C"/>
    <w:rsid w:val="00B230D6"/>
    <w:rsid w:val="00B25670"/>
    <w:rsid w:val="00B26AB4"/>
    <w:rsid w:val="00B27828"/>
    <w:rsid w:val="00B305B7"/>
    <w:rsid w:val="00B3128E"/>
    <w:rsid w:val="00B3423E"/>
    <w:rsid w:val="00B3458A"/>
    <w:rsid w:val="00B37644"/>
    <w:rsid w:val="00B425DF"/>
    <w:rsid w:val="00B42898"/>
    <w:rsid w:val="00B439B8"/>
    <w:rsid w:val="00B444D8"/>
    <w:rsid w:val="00B44AF7"/>
    <w:rsid w:val="00B46E01"/>
    <w:rsid w:val="00B55E40"/>
    <w:rsid w:val="00B571A4"/>
    <w:rsid w:val="00B65EBD"/>
    <w:rsid w:val="00B70673"/>
    <w:rsid w:val="00B8262E"/>
    <w:rsid w:val="00B83C95"/>
    <w:rsid w:val="00B8429D"/>
    <w:rsid w:val="00B85FDE"/>
    <w:rsid w:val="00B86379"/>
    <w:rsid w:val="00B930AE"/>
    <w:rsid w:val="00B93999"/>
    <w:rsid w:val="00B94477"/>
    <w:rsid w:val="00B9607B"/>
    <w:rsid w:val="00B97FDE"/>
    <w:rsid w:val="00BA3D7B"/>
    <w:rsid w:val="00BA4343"/>
    <w:rsid w:val="00BA50A0"/>
    <w:rsid w:val="00BA7BC6"/>
    <w:rsid w:val="00BB43AC"/>
    <w:rsid w:val="00BB632E"/>
    <w:rsid w:val="00BC0CD8"/>
    <w:rsid w:val="00BC4A64"/>
    <w:rsid w:val="00BD05A8"/>
    <w:rsid w:val="00BD1560"/>
    <w:rsid w:val="00BD25C2"/>
    <w:rsid w:val="00BD31ED"/>
    <w:rsid w:val="00BD4CA3"/>
    <w:rsid w:val="00BD66B9"/>
    <w:rsid w:val="00BE3E03"/>
    <w:rsid w:val="00BF0D49"/>
    <w:rsid w:val="00BF44CE"/>
    <w:rsid w:val="00C04A0D"/>
    <w:rsid w:val="00C07E6D"/>
    <w:rsid w:val="00C14146"/>
    <w:rsid w:val="00C16D77"/>
    <w:rsid w:val="00C17B11"/>
    <w:rsid w:val="00C2302A"/>
    <w:rsid w:val="00C24CFE"/>
    <w:rsid w:val="00C2525E"/>
    <w:rsid w:val="00C25ED4"/>
    <w:rsid w:val="00C30B88"/>
    <w:rsid w:val="00C320A7"/>
    <w:rsid w:val="00C32FC1"/>
    <w:rsid w:val="00C35816"/>
    <w:rsid w:val="00C36880"/>
    <w:rsid w:val="00C3722A"/>
    <w:rsid w:val="00C414C2"/>
    <w:rsid w:val="00C41B21"/>
    <w:rsid w:val="00C41B35"/>
    <w:rsid w:val="00C43AA5"/>
    <w:rsid w:val="00C45E34"/>
    <w:rsid w:val="00C466F1"/>
    <w:rsid w:val="00C478FB"/>
    <w:rsid w:val="00C5007F"/>
    <w:rsid w:val="00C51395"/>
    <w:rsid w:val="00C531EF"/>
    <w:rsid w:val="00C53814"/>
    <w:rsid w:val="00C56073"/>
    <w:rsid w:val="00C57812"/>
    <w:rsid w:val="00C60D41"/>
    <w:rsid w:val="00C73BAC"/>
    <w:rsid w:val="00C73BC1"/>
    <w:rsid w:val="00C74211"/>
    <w:rsid w:val="00C75963"/>
    <w:rsid w:val="00C76C0B"/>
    <w:rsid w:val="00C80FDF"/>
    <w:rsid w:val="00C8110D"/>
    <w:rsid w:val="00C82860"/>
    <w:rsid w:val="00C84809"/>
    <w:rsid w:val="00C877A5"/>
    <w:rsid w:val="00C87B39"/>
    <w:rsid w:val="00C925E5"/>
    <w:rsid w:val="00C93F97"/>
    <w:rsid w:val="00C9492A"/>
    <w:rsid w:val="00C95BFC"/>
    <w:rsid w:val="00CA1711"/>
    <w:rsid w:val="00CA48D4"/>
    <w:rsid w:val="00CA7D03"/>
    <w:rsid w:val="00CB1CF0"/>
    <w:rsid w:val="00CB3F81"/>
    <w:rsid w:val="00CB48C2"/>
    <w:rsid w:val="00CC2547"/>
    <w:rsid w:val="00CC4581"/>
    <w:rsid w:val="00CD3DF2"/>
    <w:rsid w:val="00CD5E97"/>
    <w:rsid w:val="00CD631C"/>
    <w:rsid w:val="00CD6820"/>
    <w:rsid w:val="00CD7A75"/>
    <w:rsid w:val="00CE0946"/>
    <w:rsid w:val="00CE2A65"/>
    <w:rsid w:val="00CE3F93"/>
    <w:rsid w:val="00CE41B2"/>
    <w:rsid w:val="00CE47F8"/>
    <w:rsid w:val="00CE60D3"/>
    <w:rsid w:val="00CE69A2"/>
    <w:rsid w:val="00CE716D"/>
    <w:rsid w:val="00CF1D07"/>
    <w:rsid w:val="00CF2FC7"/>
    <w:rsid w:val="00CF5714"/>
    <w:rsid w:val="00CF67A0"/>
    <w:rsid w:val="00D005B0"/>
    <w:rsid w:val="00D00FA3"/>
    <w:rsid w:val="00D021EB"/>
    <w:rsid w:val="00D02B86"/>
    <w:rsid w:val="00D04897"/>
    <w:rsid w:val="00D05AB4"/>
    <w:rsid w:val="00D06497"/>
    <w:rsid w:val="00D0712A"/>
    <w:rsid w:val="00D071B3"/>
    <w:rsid w:val="00D079D4"/>
    <w:rsid w:val="00D1015F"/>
    <w:rsid w:val="00D11116"/>
    <w:rsid w:val="00D11473"/>
    <w:rsid w:val="00D11955"/>
    <w:rsid w:val="00D14063"/>
    <w:rsid w:val="00D148EF"/>
    <w:rsid w:val="00D14FB3"/>
    <w:rsid w:val="00D1589D"/>
    <w:rsid w:val="00D2074C"/>
    <w:rsid w:val="00D20AD9"/>
    <w:rsid w:val="00D24E70"/>
    <w:rsid w:val="00D31CC5"/>
    <w:rsid w:val="00D35AC2"/>
    <w:rsid w:val="00D35FC3"/>
    <w:rsid w:val="00D36C84"/>
    <w:rsid w:val="00D411AE"/>
    <w:rsid w:val="00D44798"/>
    <w:rsid w:val="00D4602B"/>
    <w:rsid w:val="00D47E51"/>
    <w:rsid w:val="00D50E1B"/>
    <w:rsid w:val="00D51885"/>
    <w:rsid w:val="00D5310C"/>
    <w:rsid w:val="00D54B8C"/>
    <w:rsid w:val="00D56ECF"/>
    <w:rsid w:val="00D57744"/>
    <w:rsid w:val="00D57D70"/>
    <w:rsid w:val="00D608A5"/>
    <w:rsid w:val="00D60A89"/>
    <w:rsid w:val="00D64684"/>
    <w:rsid w:val="00D65F66"/>
    <w:rsid w:val="00D660A4"/>
    <w:rsid w:val="00D7200E"/>
    <w:rsid w:val="00D73411"/>
    <w:rsid w:val="00D82FCF"/>
    <w:rsid w:val="00D848F6"/>
    <w:rsid w:val="00D87823"/>
    <w:rsid w:val="00D92B3B"/>
    <w:rsid w:val="00D931D1"/>
    <w:rsid w:val="00D93CB1"/>
    <w:rsid w:val="00D945C1"/>
    <w:rsid w:val="00D94AD9"/>
    <w:rsid w:val="00D95960"/>
    <w:rsid w:val="00D968ED"/>
    <w:rsid w:val="00D96F51"/>
    <w:rsid w:val="00D9745C"/>
    <w:rsid w:val="00D974F3"/>
    <w:rsid w:val="00D978D1"/>
    <w:rsid w:val="00DA19DF"/>
    <w:rsid w:val="00DA22BD"/>
    <w:rsid w:val="00DA3022"/>
    <w:rsid w:val="00DA382E"/>
    <w:rsid w:val="00DA49AE"/>
    <w:rsid w:val="00DA68B0"/>
    <w:rsid w:val="00DA6969"/>
    <w:rsid w:val="00DA7D6A"/>
    <w:rsid w:val="00DB1EF8"/>
    <w:rsid w:val="00DB313F"/>
    <w:rsid w:val="00DB439D"/>
    <w:rsid w:val="00DB6667"/>
    <w:rsid w:val="00DC1C9D"/>
    <w:rsid w:val="00DC2DE1"/>
    <w:rsid w:val="00DC4E55"/>
    <w:rsid w:val="00DC5BD1"/>
    <w:rsid w:val="00DC68EA"/>
    <w:rsid w:val="00DD1CC3"/>
    <w:rsid w:val="00DD34FC"/>
    <w:rsid w:val="00DD506D"/>
    <w:rsid w:val="00DF397F"/>
    <w:rsid w:val="00E02D67"/>
    <w:rsid w:val="00E049A3"/>
    <w:rsid w:val="00E067DC"/>
    <w:rsid w:val="00E06D44"/>
    <w:rsid w:val="00E2327B"/>
    <w:rsid w:val="00E25CFC"/>
    <w:rsid w:val="00E26B4B"/>
    <w:rsid w:val="00E2769F"/>
    <w:rsid w:val="00E27A1E"/>
    <w:rsid w:val="00E30525"/>
    <w:rsid w:val="00E31A4A"/>
    <w:rsid w:val="00E320A6"/>
    <w:rsid w:val="00E326C0"/>
    <w:rsid w:val="00E32BB5"/>
    <w:rsid w:val="00E35AFD"/>
    <w:rsid w:val="00E36535"/>
    <w:rsid w:val="00E377F3"/>
    <w:rsid w:val="00E403A9"/>
    <w:rsid w:val="00E405FA"/>
    <w:rsid w:val="00E45E2C"/>
    <w:rsid w:val="00E478ED"/>
    <w:rsid w:val="00E515A0"/>
    <w:rsid w:val="00E57699"/>
    <w:rsid w:val="00E61B9C"/>
    <w:rsid w:val="00E644C2"/>
    <w:rsid w:val="00E64DDE"/>
    <w:rsid w:val="00E65D99"/>
    <w:rsid w:val="00E661A4"/>
    <w:rsid w:val="00E67F2E"/>
    <w:rsid w:val="00E7020F"/>
    <w:rsid w:val="00E70E9B"/>
    <w:rsid w:val="00E71434"/>
    <w:rsid w:val="00E72AA6"/>
    <w:rsid w:val="00E74CA6"/>
    <w:rsid w:val="00E753ED"/>
    <w:rsid w:val="00E77FAE"/>
    <w:rsid w:val="00E800C2"/>
    <w:rsid w:val="00E80910"/>
    <w:rsid w:val="00E82EFC"/>
    <w:rsid w:val="00E84911"/>
    <w:rsid w:val="00E86574"/>
    <w:rsid w:val="00E87B67"/>
    <w:rsid w:val="00E93C20"/>
    <w:rsid w:val="00E96FA7"/>
    <w:rsid w:val="00EA20BA"/>
    <w:rsid w:val="00EA2CBC"/>
    <w:rsid w:val="00EA4E77"/>
    <w:rsid w:val="00EA5C0E"/>
    <w:rsid w:val="00EB0303"/>
    <w:rsid w:val="00EB2CE6"/>
    <w:rsid w:val="00EB4A3D"/>
    <w:rsid w:val="00EB4B53"/>
    <w:rsid w:val="00EB61D7"/>
    <w:rsid w:val="00EC39FA"/>
    <w:rsid w:val="00EC506E"/>
    <w:rsid w:val="00EC5A4F"/>
    <w:rsid w:val="00EC776E"/>
    <w:rsid w:val="00ED1FD0"/>
    <w:rsid w:val="00ED317C"/>
    <w:rsid w:val="00ED38D0"/>
    <w:rsid w:val="00ED41B9"/>
    <w:rsid w:val="00ED4436"/>
    <w:rsid w:val="00ED520D"/>
    <w:rsid w:val="00ED660D"/>
    <w:rsid w:val="00ED70FE"/>
    <w:rsid w:val="00EF0E84"/>
    <w:rsid w:val="00EF201D"/>
    <w:rsid w:val="00EF744B"/>
    <w:rsid w:val="00F003B5"/>
    <w:rsid w:val="00F0094F"/>
    <w:rsid w:val="00F01589"/>
    <w:rsid w:val="00F034B9"/>
    <w:rsid w:val="00F04E7D"/>
    <w:rsid w:val="00F05619"/>
    <w:rsid w:val="00F07F74"/>
    <w:rsid w:val="00F10059"/>
    <w:rsid w:val="00F108C3"/>
    <w:rsid w:val="00F11195"/>
    <w:rsid w:val="00F1212B"/>
    <w:rsid w:val="00F12BEF"/>
    <w:rsid w:val="00F1462B"/>
    <w:rsid w:val="00F15098"/>
    <w:rsid w:val="00F15906"/>
    <w:rsid w:val="00F163AB"/>
    <w:rsid w:val="00F17CB8"/>
    <w:rsid w:val="00F20026"/>
    <w:rsid w:val="00F20C72"/>
    <w:rsid w:val="00F26D0B"/>
    <w:rsid w:val="00F27AEA"/>
    <w:rsid w:val="00F32434"/>
    <w:rsid w:val="00F34527"/>
    <w:rsid w:val="00F34C1F"/>
    <w:rsid w:val="00F3535F"/>
    <w:rsid w:val="00F35732"/>
    <w:rsid w:val="00F36429"/>
    <w:rsid w:val="00F36E0A"/>
    <w:rsid w:val="00F370BE"/>
    <w:rsid w:val="00F408EA"/>
    <w:rsid w:val="00F42B43"/>
    <w:rsid w:val="00F433B7"/>
    <w:rsid w:val="00F46921"/>
    <w:rsid w:val="00F46E2D"/>
    <w:rsid w:val="00F50C86"/>
    <w:rsid w:val="00F51AD1"/>
    <w:rsid w:val="00F54D59"/>
    <w:rsid w:val="00F60E7A"/>
    <w:rsid w:val="00F62C89"/>
    <w:rsid w:val="00F66F0B"/>
    <w:rsid w:val="00F67F75"/>
    <w:rsid w:val="00F74CCF"/>
    <w:rsid w:val="00F75AEE"/>
    <w:rsid w:val="00F805F9"/>
    <w:rsid w:val="00F81AA9"/>
    <w:rsid w:val="00F828C7"/>
    <w:rsid w:val="00F8630B"/>
    <w:rsid w:val="00F869B4"/>
    <w:rsid w:val="00F900FD"/>
    <w:rsid w:val="00F9066E"/>
    <w:rsid w:val="00F931C8"/>
    <w:rsid w:val="00F97469"/>
    <w:rsid w:val="00FA17BB"/>
    <w:rsid w:val="00FA2214"/>
    <w:rsid w:val="00FA28CF"/>
    <w:rsid w:val="00FA30DA"/>
    <w:rsid w:val="00FB2807"/>
    <w:rsid w:val="00FB75A9"/>
    <w:rsid w:val="00FC0FCC"/>
    <w:rsid w:val="00FC3B2D"/>
    <w:rsid w:val="00FC4072"/>
    <w:rsid w:val="00FC7A17"/>
    <w:rsid w:val="00FD2CE8"/>
    <w:rsid w:val="00FD5133"/>
    <w:rsid w:val="00FD66A3"/>
    <w:rsid w:val="00FE188B"/>
    <w:rsid w:val="00FE54C6"/>
    <w:rsid w:val="00FE5A14"/>
    <w:rsid w:val="00FE653F"/>
    <w:rsid w:val="00FE7C11"/>
    <w:rsid w:val="00FF1136"/>
    <w:rsid w:val="00FF14D1"/>
    <w:rsid w:val="00FF1DE3"/>
    <w:rsid w:val="00FF33A0"/>
    <w:rsid w:val="00FF355C"/>
    <w:rsid w:val="00FF3E59"/>
    <w:rsid w:val="00FF4191"/>
    <w:rsid w:val="00FF76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749D"/>
  <w15:docId w15:val="{D8B775C2-B846-4562-A898-3402EEBF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2B"/>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E5E"/>
    <w:pPr>
      <w:ind w:left="720"/>
      <w:contextualSpacing/>
    </w:pPr>
  </w:style>
  <w:style w:type="character" w:styleId="Refdecomentario">
    <w:name w:val="annotation reference"/>
    <w:basedOn w:val="Fuentedeprrafopredeter"/>
    <w:uiPriority w:val="99"/>
    <w:semiHidden/>
    <w:unhideWhenUsed/>
    <w:rsid w:val="001077CC"/>
    <w:rPr>
      <w:sz w:val="16"/>
      <w:szCs w:val="16"/>
    </w:rPr>
  </w:style>
  <w:style w:type="paragraph" w:styleId="Textocomentario">
    <w:name w:val="annotation text"/>
    <w:basedOn w:val="Normal"/>
    <w:link w:val="TextocomentarioCar"/>
    <w:uiPriority w:val="99"/>
    <w:unhideWhenUsed/>
    <w:rsid w:val="001077CC"/>
    <w:pPr>
      <w:spacing w:line="240" w:lineRule="auto"/>
    </w:pPr>
    <w:rPr>
      <w:sz w:val="20"/>
      <w:szCs w:val="20"/>
    </w:rPr>
  </w:style>
  <w:style w:type="character" w:customStyle="1" w:styleId="TextocomentarioCar">
    <w:name w:val="Texto comentario Car"/>
    <w:basedOn w:val="Fuentedeprrafopredeter"/>
    <w:link w:val="Textocomentario"/>
    <w:uiPriority w:val="99"/>
    <w:rsid w:val="001077CC"/>
    <w:rPr>
      <w:sz w:val="20"/>
      <w:szCs w:val="20"/>
    </w:rPr>
  </w:style>
  <w:style w:type="paragraph" w:styleId="Asuntodelcomentario">
    <w:name w:val="annotation subject"/>
    <w:basedOn w:val="Textocomentario"/>
    <w:next w:val="Textocomentario"/>
    <w:link w:val="AsuntodelcomentarioCar"/>
    <w:uiPriority w:val="99"/>
    <w:semiHidden/>
    <w:unhideWhenUsed/>
    <w:rsid w:val="001077CC"/>
    <w:rPr>
      <w:b/>
      <w:bCs/>
    </w:rPr>
  </w:style>
  <w:style w:type="character" w:customStyle="1" w:styleId="AsuntodelcomentarioCar">
    <w:name w:val="Asunto del comentario Car"/>
    <w:basedOn w:val="TextocomentarioCar"/>
    <w:link w:val="Asuntodelcomentario"/>
    <w:uiPriority w:val="99"/>
    <w:semiHidden/>
    <w:rsid w:val="001077CC"/>
    <w:rPr>
      <w:b/>
      <w:bCs/>
      <w:sz w:val="20"/>
      <w:szCs w:val="20"/>
    </w:rPr>
  </w:style>
  <w:style w:type="paragraph" w:styleId="Textodeglobo">
    <w:name w:val="Balloon Text"/>
    <w:basedOn w:val="Normal"/>
    <w:link w:val="TextodegloboCar"/>
    <w:uiPriority w:val="99"/>
    <w:semiHidden/>
    <w:unhideWhenUsed/>
    <w:rsid w:val="001077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77CC"/>
    <w:rPr>
      <w:rFonts w:ascii="Segoe UI" w:hAnsi="Segoe UI" w:cs="Segoe UI"/>
      <w:sz w:val="18"/>
      <w:szCs w:val="18"/>
    </w:rPr>
  </w:style>
  <w:style w:type="character" w:styleId="nfasissutil">
    <w:name w:val="Subtle Emphasis"/>
    <w:aliases w:val="Artículo"/>
    <w:uiPriority w:val="19"/>
    <w:qFormat/>
    <w:rsid w:val="007D0E2B"/>
    <w:rPr>
      <w:rFonts w:ascii="Arial" w:hAnsi="Arial" w:cs="Arial"/>
      <w:sz w:val="22"/>
    </w:rPr>
  </w:style>
  <w:style w:type="paragraph" w:customStyle="1" w:styleId="Normal1">
    <w:name w:val="Normal1"/>
    <w:rsid w:val="00FB2807"/>
    <w:pPr>
      <w:spacing w:after="120" w:line="288" w:lineRule="auto"/>
      <w:jc w:val="both"/>
    </w:pPr>
    <w:rPr>
      <w:rFonts w:ascii="Arial" w:eastAsia="Arial" w:hAnsi="Arial" w:cs="Arial"/>
      <w:lang w:eastAsia="es-CR"/>
    </w:rPr>
  </w:style>
  <w:style w:type="table" w:styleId="Tablaconcuadrcula">
    <w:name w:val="Table Grid"/>
    <w:basedOn w:val="Tablanormal"/>
    <w:rsid w:val="000C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17BCC"/>
    <w:pPr>
      <w:spacing w:after="0" w:line="240" w:lineRule="auto"/>
    </w:pPr>
    <w:rPr>
      <w:rFonts w:ascii="Arial" w:hAnsi="Arial"/>
    </w:rPr>
  </w:style>
  <w:style w:type="paragraph" w:styleId="NormalWeb">
    <w:name w:val="Normal (Web)"/>
    <w:basedOn w:val="Normal"/>
    <w:uiPriority w:val="99"/>
    <w:unhideWhenUsed/>
    <w:rsid w:val="00916F48"/>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ED4436"/>
    <w:rPr>
      <w:color w:val="0563C1" w:themeColor="hyperlink"/>
      <w:u w:val="single"/>
    </w:rPr>
  </w:style>
  <w:style w:type="character" w:customStyle="1" w:styleId="Mencinsinresolver1">
    <w:name w:val="Mención sin resolver1"/>
    <w:basedOn w:val="Fuentedeprrafopredeter"/>
    <w:uiPriority w:val="99"/>
    <w:semiHidden/>
    <w:unhideWhenUsed/>
    <w:rsid w:val="00ED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064">
      <w:bodyDiv w:val="1"/>
      <w:marLeft w:val="0"/>
      <w:marRight w:val="0"/>
      <w:marTop w:val="0"/>
      <w:marBottom w:val="0"/>
      <w:divBdr>
        <w:top w:val="none" w:sz="0" w:space="0" w:color="auto"/>
        <w:left w:val="none" w:sz="0" w:space="0" w:color="auto"/>
        <w:bottom w:val="none" w:sz="0" w:space="0" w:color="auto"/>
        <w:right w:val="none" w:sz="0" w:space="0" w:color="auto"/>
      </w:divBdr>
    </w:div>
    <w:div w:id="471606551">
      <w:bodyDiv w:val="1"/>
      <w:marLeft w:val="0"/>
      <w:marRight w:val="0"/>
      <w:marTop w:val="0"/>
      <w:marBottom w:val="0"/>
      <w:divBdr>
        <w:top w:val="none" w:sz="0" w:space="0" w:color="auto"/>
        <w:left w:val="none" w:sz="0" w:space="0" w:color="auto"/>
        <w:bottom w:val="none" w:sz="0" w:space="0" w:color="auto"/>
        <w:right w:val="none" w:sz="0" w:space="0" w:color="auto"/>
      </w:divBdr>
    </w:div>
    <w:div w:id="11193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about:blank" TargetMode="External" Type="http://schemas.openxmlformats.org/officeDocument/2006/relationships/hyperlink"/>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2F5B70282CC40BD3720D34A9DA6E3" ma:contentTypeVersion="11" ma:contentTypeDescription="Create a new document." ma:contentTypeScope="" ma:versionID="d8faeb9bf836be755c03c944dc44ddd7">
  <xsd:schema xmlns:xsd="http://www.w3.org/2001/XMLSchema" xmlns:xs="http://www.w3.org/2001/XMLSchema" xmlns:p="http://schemas.microsoft.com/office/2006/metadata/properties" xmlns:ns3="7846d378-bf79-4f8c-8e70-a522b2b79ef2" xmlns:ns4="e19bc1da-cd25-4b3d-b0c8-a9ea7d551ee7" targetNamespace="http://schemas.microsoft.com/office/2006/metadata/properties" ma:root="true" ma:fieldsID="cb9cd6a245e6cf404c9722021a895ce6" ns3:_="" ns4:_="">
    <xsd:import namespace="7846d378-bf79-4f8c-8e70-a522b2b79ef2"/>
    <xsd:import namespace="e19bc1da-cd25-4b3d-b0c8-a9ea7d551e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6d378-bf79-4f8c-8e70-a522b2b79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bc1da-cd25-4b3d-b0c8-a9ea7d551e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6C27BAF-0E56-4EB6-963E-3AA643B95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947EF-A81A-4E65-938F-5C452BAA9ABB}">
  <ds:schemaRefs>
    <ds:schemaRef ds:uri="http://schemas.microsoft.com/sharepoint/v3/contenttype/forms"/>
  </ds:schemaRefs>
</ds:datastoreItem>
</file>

<file path=customXml/itemProps3.xml><?xml version="1.0" encoding="utf-8"?>
<ds:datastoreItem xmlns:ds="http://schemas.openxmlformats.org/officeDocument/2006/customXml" ds:itemID="{95504B6C-E073-44AF-9D84-9BD6B6A8D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6d378-bf79-4f8c-8e70-a522b2b79ef2"/>
    <ds:schemaRef ds:uri="e19bc1da-cd25-4b3d-b0c8-a9ea7d551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5C9DE-A8E5-7C4C-8B5F-55F3CBFE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2184</Words>
  <Characters>12015</Characters>
  <Application>Developed by MetaClean (www.adarsus.com) -Trial License-</Application>
  <DocSecurity>0</DocSecurity>
  <Lines>100</Lines>
  <Paragraphs>28</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14171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