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7C9E7" w14:textId="77777777" w:rsidR="00C03F34" w:rsidRPr="00F157DC" w:rsidRDefault="00C03F34" w:rsidP="00F157DC">
      <w:pPr>
        <w:spacing w:line="480" w:lineRule="auto"/>
        <w:jc w:val="center"/>
        <w:rPr>
          <w:b/>
          <w:lang w:val="es-MX"/>
        </w:rPr>
      </w:pPr>
      <w:bookmarkStart w:id="0" w:name="_Hlk3962289"/>
      <w:bookmarkStart w:id="1" w:name="_GoBack"/>
      <w:bookmarkEnd w:id="1"/>
      <w:r w:rsidRPr="00F157DC">
        <w:rPr>
          <w:b/>
          <w:lang w:val="es-MX"/>
        </w:rPr>
        <w:t>Decreto Ejecutivo N°_____-MP-MIVAH</w:t>
      </w:r>
      <w:bookmarkStart w:id="2" w:name="_Hlk527107434"/>
      <w:bookmarkEnd w:id="0"/>
    </w:p>
    <w:bookmarkEnd w:id="2"/>
    <w:p w14:paraId="3519715E" w14:textId="77777777" w:rsidR="00C03F34" w:rsidRPr="00F157DC" w:rsidRDefault="00C03F34" w:rsidP="00F157DC">
      <w:pPr>
        <w:spacing w:line="480" w:lineRule="auto"/>
        <w:jc w:val="center"/>
        <w:rPr>
          <w:b/>
          <w:lang w:val="es-MX"/>
        </w:rPr>
      </w:pPr>
      <w:r w:rsidRPr="00F157DC">
        <w:rPr>
          <w:b/>
          <w:lang w:val="es-MX"/>
        </w:rPr>
        <w:t>EL PRESIDENTE DE LA REP</w:t>
      </w:r>
      <w:r w:rsidRPr="00F157DC">
        <w:rPr>
          <w:b/>
          <w:caps/>
          <w:lang w:val="es-MX"/>
        </w:rPr>
        <w:t>ú</w:t>
      </w:r>
      <w:r w:rsidRPr="00F157DC">
        <w:rPr>
          <w:b/>
          <w:lang w:val="es-MX"/>
        </w:rPr>
        <w:t>BLICA,</w:t>
      </w:r>
    </w:p>
    <w:p w14:paraId="2C1F03CF" w14:textId="77777777" w:rsidR="00C03F34" w:rsidRPr="00F157DC" w:rsidRDefault="00C03F34" w:rsidP="00F157DC">
      <w:pPr>
        <w:spacing w:line="480" w:lineRule="auto"/>
        <w:jc w:val="center"/>
        <w:rPr>
          <w:b/>
          <w:lang w:val="es-MX"/>
        </w:rPr>
      </w:pPr>
      <w:r w:rsidRPr="00F157DC">
        <w:rPr>
          <w:b/>
          <w:lang w:val="es-MX"/>
        </w:rPr>
        <w:t>EL MINISTRO DE LA PRESIDENCIA Y</w:t>
      </w:r>
    </w:p>
    <w:p w14:paraId="3CE1DBD0" w14:textId="77777777" w:rsidR="00C03F34" w:rsidRPr="00F157DC" w:rsidRDefault="00C03F34" w:rsidP="00F157DC">
      <w:pPr>
        <w:spacing w:line="480" w:lineRule="auto"/>
        <w:jc w:val="center"/>
        <w:rPr>
          <w:b/>
          <w:lang w:val="es-MX"/>
        </w:rPr>
      </w:pPr>
      <w:r w:rsidRPr="00F157DC">
        <w:rPr>
          <w:b/>
          <w:lang w:val="es-MX"/>
        </w:rPr>
        <w:t>LA MINISTRA DE VIVIENDA Y ASENTAMIENTOS HUMANOS</w:t>
      </w:r>
    </w:p>
    <w:p w14:paraId="3FBA9C92" w14:textId="77777777" w:rsidR="00C03F34" w:rsidRPr="00F157DC" w:rsidRDefault="00C03F34" w:rsidP="00F157DC">
      <w:pPr>
        <w:spacing w:line="480" w:lineRule="auto"/>
        <w:jc w:val="both"/>
        <w:rPr>
          <w:color w:val="000000"/>
          <w:lang w:val="es-ES" w:eastAsia="es-ES_tradnl"/>
        </w:rPr>
      </w:pPr>
    </w:p>
    <w:p w14:paraId="751556FE" w14:textId="77777777" w:rsidR="00C94A84" w:rsidRPr="00F157DC" w:rsidRDefault="00A71401" w:rsidP="00F157DC">
      <w:pPr>
        <w:spacing w:line="480" w:lineRule="auto"/>
        <w:jc w:val="both"/>
        <w:rPr>
          <w:color w:val="FF0000"/>
          <w:lang w:val="es-ES" w:eastAsia="es-ES_tradnl"/>
        </w:rPr>
      </w:pPr>
      <w:r w:rsidRPr="00F157DC">
        <w:rPr>
          <w:color w:val="000000"/>
          <w:lang w:val="es-ES" w:eastAsia="es-ES_tradnl"/>
        </w:rPr>
        <w:t xml:space="preserve">En uso de las atribuciones constitucionales previstas en el artículo 140 incisos 3) y 18) y el artículo 146 de la Constitución Política y de conformidad con lo dispuesto en la </w:t>
      </w:r>
      <w:r w:rsidR="003E157B" w:rsidRPr="00F157DC">
        <w:rPr>
          <w:color w:val="000000" w:themeColor="text1"/>
        </w:rPr>
        <w:t xml:space="preserve">Ley del Sistema Financiero Nacional para la Vivienda y Creación del Banco Hipotecario de Vivienda, Ley </w:t>
      </w:r>
      <w:r w:rsidR="003E157B" w:rsidRPr="00F157DC">
        <w:rPr>
          <w:color w:val="000000" w:themeColor="text1"/>
          <w:lang w:val="es-ES" w:eastAsia="es-ES_tradnl"/>
        </w:rPr>
        <w:t>N°</w:t>
      </w:r>
      <w:r w:rsidR="003E157B" w:rsidRPr="00F157DC">
        <w:rPr>
          <w:color w:val="000000" w:themeColor="text1"/>
        </w:rPr>
        <w:t>7052</w:t>
      </w:r>
      <w:r w:rsidR="002D4590" w:rsidRPr="00F157DC">
        <w:rPr>
          <w:color w:val="000000" w:themeColor="text1"/>
        </w:rPr>
        <w:t>; la</w:t>
      </w:r>
      <w:r w:rsidR="003E157B" w:rsidRPr="00F157DC">
        <w:rPr>
          <w:color w:val="000000" w:themeColor="text1"/>
        </w:rPr>
        <w:t xml:space="preserve"> </w:t>
      </w:r>
      <w:r w:rsidR="00427D8A" w:rsidRPr="00F157DC">
        <w:rPr>
          <w:color w:val="000000" w:themeColor="text1"/>
        </w:rPr>
        <w:t xml:space="preserve">Reforma de la Ley </w:t>
      </w:r>
      <w:r w:rsidR="00427D8A" w:rsidRPr="00F157DC">
        <w:rPr>
          <w:color w:val="000000" w:themeColor="text1"/>
          <w:lang w:val="es-ES" w:eastAsia="es-ES_tradnl"/>
        </w:rPr>
        <w:t>N°</w:t>
      </w:r>
      <w:r w:rsidR="00E936C6" w:rsidRPr="00F157DC">
        <w:rPr>
          <w:color w:val="000000" w:themeColor="text1"/>
          <w:lang w:val="es-ES" w:eastAsia="es-ES_tradnl"/>
        </w:rPr>
        <w:t xml:space="preserve"> </w:t>
      </w:r>
      <w:r w:rsidR="00427D8A" w:rsidRPr="00F157DC">
        <w:rPr>
          <w:color w:val="000000" w:themeColor="text1"/>
        </w:rPr>
        <w:t xml:space="preserve">7052, Ley </w:t>
      </w:r>
      <w:r w:rsidR="00427D8A" w:rsidRPr="00F157DC">
        <w:rPr>
          <w:color w:val="000000" w:themeColor="text1"/>
          <w:lang w:val="es-ES" w:eastAsia="es-ES_tradnl"/>
        </w:rPr>
        <w:t xml:space="preserve">N° </w:t>
      </w:r>
      <w:r w:rsidR="00427D8A" w:rsidRPr="00F157DC">
        <w:rPr>
          <w:color w:val="000000" w:themeColor="text1"/>
          <w:lang w:val="es-ES"/>
        </w:rPr>
        <w:t>9199</w:t>
      </w:r>
      <w:r w:rsidR="00E936C6" w:rsidRPr="00F157DC">
        <w:rPr>
          <w:color w:val="000000"/>
          <w:lang w:val="es-ES" w:eastAsia="es-ES_tradnl"/>
        </w:rPr>
        <w:t>, Ley General de Administración Pública, Ley</w:t>
      </w:r>
      <w:r w:rsidR="00E936C6" w:rsidRPr="00F157DC">
        <w:rPr>
          <w:color w:val="000000" w:themeColor="text1"/>
          <w:lang w:val="es-ES" w:eastAsia="es-ES_tradnl"/>
        </w:rPr>
        <w:t xml:space="preserve"> N° </w:t>
      </w:r>
      <w:r w:rsidR="00E936C6" w:rsidRPr="00F157DC">
        <w:rPr>
          <w:color w:val="000000"/>
          <w:lang w:val="es-ES" w:eastAsia="es-ES_tradnl"/>
        </w:rPr>
        <w:t>6227,</w:t>
      </w:r>
      <w:r w:rsidR="002D4590" w:rsidRPr="00F157DC">
        <w:rPr>
          <w:color w:val="000000"/>
          <w:lang w:val="es-ES" w:eastAsia="es-ES_tradnl"/>
        </w:rPr>
        <w:t xml:space="preserve"> el</w:t>
      </w:r>
      <w:r w:rsidR="00C94A84" w:rsidRPr="00F157DC">
        <w:rPr>
          <w:color w:val="000000"/>
          <w:lang w:val="es-ES" w:eastAsia="es-ES_tradnl"/>
        </w:rPr>
        <w:t xml:space="preserve"> </w:t>
      </w:r>
      <w:r w:rsidR="00C94A84" w:rsidRPr="00F157DC">
        <w:rPr>
          <w:color w:val="000000" w:themeColor="text1"/>
        </w:rPr>
        <w:t>Reglamento Orgánico del Poder Ejecutivo establecido mediante Decreto Ejecutivo </w:t>
      </w:r>
      <w:r w:rsidR="00C94A84" w:rsidRPr="00F157DC">
        <w:rPr>
          <w:color w:val="000000" w:themeColor="text1"/>
          <w:lang w:val="es-ES" w:eastAsia="es-ES_tradnl"/>
        </w:rPr>
        <w:t>N°</w:t>
      </w:r>
      <w:r w:rsidR="00C94A84" w:rsidRPr="00F157DC">
        <w:rPr>
          <w:color w:val="000000" w:themeColor="text1"/>
        </w:rPr>
        <w:t> 41187-MP-MIDEPLAN,</w:t>
      </w:r>
    </w:p>
    <w:p w14:paraId="4EB732D4" w14:textId="77777777" w:rsidR="00C94A84" w:rsidRPr="00F157DC" w:rsidRDefault="00C94A84" w:rsidP="00F157DC">
      <w:pPr>
        <w:spacing w:line="480" w:lineRule="auto"/>
        <w:jc w:val="both"/>
        <w:rPr>
          <w:color w:val="FF0000"/>
          <w:lang w:val="es-ES" w:eastAsia="es-ES_tradnl"/>
        </w:rPr>
      </w:pPr>
    </w:p>
    <w:p w14:paraId="6525BFDC" w14:textId="77777777" w:rsidR="003E157B" w:rsidRPr="00F157DC" w:rsidRDefault="00B07019" w:rsidP="00F157DC">
      <w:pPr>
        <w:spacing w:line="480" w:lineRule="auto"/>
        <w:jc w:val="center"/>
        <w:rPr>
          <w:b/>
          <w:bCs/>
          <w:color w:val="000000"/>
          <w:lang w:val="es-ES" w:eastAsia="es-ES_tradnl"/>
        </w:rPr>
      </w:pPr>
      <w:r w:rsidRPr="00F157DC">
        <w:rPr>
          <w:b/>
          <w:bCs/>
          <w:color w:val="000000"/>
          <w:lang w:val="es-ES" w:eastAsia="es-ES_tradnl"/>
        </w:rPr>
        <w:t>CONSIDERANDO</w:t>
      </w:r>
    </w:p>
    <w:p w14:paraId="743E5ABF" w14:textId="77777777" w:rsidR="005D2451" w:rsidRPr="00F157DC" w:rsidRDefault="005D2451" w:rsidP="00F157DC">
      <w:pPr>
        <w:spacing w:line="480" w:lineRule="auto"/>
        <w:jc w:val="both"/>
        <w:rPr>
          <w:color w:val="000000"/>
          <w:lang w:val="es-ES" w:eastAsia="es-ES_tradnl"/>
        </w:rPr>
      </w:pPr>
    </w:p>
    <w:p w14:paraId="172C4CF2" w14:textId="77777777" w:rsidR="005D2451" w:rsidRPr="000248BC" w:rsidRDefault="003E157B" w:rsidP="000248BC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15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="00803288" w:rsidRPr="00F157DC">
        <w:rPr>
          <w:rFonts w:ascii="Times New Roman" w:hAnsi="Times New Roman" w:cs="Times New Roman"/>
          <w:color w:val="000000" w:themeColor="text1"/>
          <w:sz w:val="24"/>
          <w:szCs w:val="24"/>
        </w:rPr>
        <w:t>conforme</w:t>
      </w:r>
      <w:r w:rsidR="002D4590" w:rsidRPr="00F15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5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los </w:t>
      </w:r>
      <w:r w:rsidR="002D4590" w:rsidRPr="00F15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artículos </w:t>
      </w:r>
      <w:r w:rsidR="00151486" w:rsidRPr="00F157DC">
        <w:rPr>
          <w:rFonts w:ascii="Times New Roman" w:hAnsi="Times New Roman" w:cs="Times New Roman"/>
          <w:color w:val="000000" w:themeColor="text1"/>
          <w:sz w:val="24"/>
          <w:szCs w:val="24"/>
        </w:rPr>
        <w:t>72</w:t>
      </w:r>
      <w:r w:rsidR="00BB0A06" w:rsidRPr="00F15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51486" w:rsidRPr="00F157DC">
        <w:rPr>
          <w:rFonts w:ascii="Times New Roman" w:hAnsi="Times New Roman" w:cs="Times New Roman"/>
          <w:color w:val="000000" w:themeColor="text1"/>
          <w:sz w:val="24"/>
          <w:szCs w:val="24"/>
        </w:rPr>
        <w:t>74</w:t>
      </w:r>
      <w:r w:rsidR="00BB0A06" w:rsidRPr="00F15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81</w:t>
      </w:r>
      <w:r w:rsidR="002D4590" w:rsidRPr="00F15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la</w:t>
      </w:r>
      <w:r w:rsidRPr="00F15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Ley del Sistema Financiero Nacional para la Vivienda y Creación del Banco Hipotecario de Vivienda, Ley N</w:t>
      </w:r>
      <w:r w:rsidR="00024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o. </w:t>
      </w:r>
      <w:r w:rsidRPr="00F157DC">
        <w:rPr>
          <w:rFonts w:ascii="Times New Roman" w:hAnsi="Times New Roman" w:cs="Times New Roman"/>
          <w:color w:val="000000" w:themeColor="text1"/>
          <w:sz w:val="24"/>
          <w:szCs w:val="24"/>
        </w:rPr>
        <w:t>7052</w:t>
      </w:r>
      <w:r w:rsidR="00427D8A" w:rsidRPr="00F157DC">
        <w:rPr>
          <w:rFonts w:ascii="Times New Roman" w:hAnsi="Times New Roman" w:cs="Times New Roman"/>
          <w:color w:val="000000" w:themeColor="text1"/>
          <w:sz w:val="24"/>
          <w:szCs w:val="24"/>
        </w:rPr>
        <w:t>, las mutuales son entidades autorizadas</w:t>
      </w:r>
      <w:r w:rsidR="00590CEB" w:rsidRPr="00F15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operar en el Sistema Financiero Nacional para la Vivienda</w:t>
      </w:r>
      <w:r w:rsidR="00427D8A" w:rsidRPr="00F15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que gozan del respaldo y garantía del Estado y tienen como </w:t>
      </w:r>
      <w:r w:rsidR="00151486" w:rsidRPr="00F157DC">
        <w:rPr>
          <w:rFonts w:ascii="Times New Roman" w:hAnsi="Times New Roman" w:cs="Times New Roman"/>
          <w:color w:val="000000" w:themeColor="text1"/>
          <w:sz w:val="24"/>
          <w:szCs w:val="24"/>
        </w:rPr>
        <w:t>una de sus funciones</w:t>
      </w:r>
      <w:r w:rsidR="00427D8A" w:rsidRPr="00F15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1486" w:rsidRPr="00F157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 financimiento de viviendas de interés social. </w:t>
      </w:r>
    </w:p>
    <w:p w14:paraId="1990A7A0" w14:textId="77777777" w:rsidR="000248BC" w:rsidRPr="000248BC" w:rsidRDefault="000248BC" w:rsidP="000248BC">
      <w:pPr>
        <w:pStyle w:val="Prrafodelista"/>
        <w:spacing w:after="0" w:line="48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D7B5215" w14:textId="77777777" w:rsidR="005D2451" w:rsidRPr="00834F00" w:rsidRDefault="003E157B" w:rsidP="00F157DC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157DC">
        <w:rPr>
          <w:rFonts w:ascii="Times New Roman" w:hAnsi="Times New Roman" w:cs="Times New Roman"/>
          <w:sz w:val="24"/>
          <w:szCs w:val="24"/>
        </w:rPr>
        <w:t>Que la</w:t>
      </w:r>
      <w:r w:rsidR="000248BC">
        <w:rPr>
          <w:rFonts w:ascii="Times New Roman" w:hAnsi="Times New Roman" w:cs="Times New Roman"/>
          <w:sz w:val="24"/>
          <w:szCs w:val="24"/>
        </w:rPr>
        <w:t xml:space="preserve"> </w:t>
      </w:r>
      <w:r w:rsidR="000248BC" w:rsidRPr="000248BC">
        <w:rPr>
          <w:rFonts w:ascii="Times New Roman" w:hAnsi="Times New Roman" w:cs="Times New Roman"/>
          <w:color w:val="000000" w:themeColor="text1"/>
          <w:sz w:val="24"/>
          <w:szCs w:val="24"/>
        </w:rPr>
        <w:t>Reforma Ley del Sistema Financiero Nacional para la Vivienda y Creación del BANHVI (Banco Hipotecario de la Vivienda) para modernizar las fuentes de capitalización de la mutuales</w:t>
      </w:r>
      <w:r w:rsidR="000248B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157DC">
        <w:rPr>
          <w:rFonts w:ascii="Times New Roman" w:hAnsi="Times New Roman" w:cs="Times New Roman"/>
          <w:sz w:val="24"/>
          <w:szCs w:val="24"/>
        </w:rPr>
        <w:t xml:space="preserve"> Ley </w:t>
      </w:r>
      <w:r w:rsidR="002D4590" w:rsidRPr="00F157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_tradnl"/>
        </w:rPr>
        <w:t>N</w:t>
      </w:r>
      <w:r w:rsidR="00024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_tradnl"/>
        </w:rPr>
        <w:t>o.</w:t>
      </w:r>
      <w:r w:rsidR="002D4590" w:rsidRPr="00F157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_tradnl"/>
        </w:rPr>
        <w:t xml:space="preserve"> </w:t>
      </w:r>
      <w:r w:rsidRPr="00F157DC">
        <w:rPr>
          <w:rFonts w:ascii="Times New Roman" w:hAnsi="Times New Roman" w:cs="Times New Roman"/>
          <w:sz w:val="24"/>
          <w:szCs w:val="24"/>
        </w:rPr>
        <w:t xml:space="preserve">9199 </w:t>
      </w:r>
      <w:r w:rsidR="009A3A1A" w:rsidRPr="00F157DC">
        <w:rPr>
          <w:rFonts w:ascii="Times New Roman" w:hAnsi="Times New Roman" w:cs="Times New Roman"/>
          <w:sz w:val="24"/>
          <w:szCs w:val="24"/>
        </w:rPr>
        <w:t>introdujo</w:t>
      </w:r>
      <w:r w:rsidR="005A0745" w:rsidRPr="00F157DC">
        <w:rPr>
          <w:rFonts w:ascii="Times New Roman" w:hAnsi="Times New Roman" w:cs="Times New Roman"/>
          <w:sz w:val="24"/>
          <w:szCs w:val="24"/>
        </w:rPr>
        <w:t xml:space="preserve"> una reforma a la Ley </w:t>
      </w:r>
      <w:r w:rsidR="005A0745" w:rsidRPr="00F157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_tradnl"/>
        </w:rPr>
        <w:t>N</w:t>
      </w:r>
      <w:r w:rsidR="00024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_tradnl"/>
        </w:rPr>
        <w:t xml:space="preserve">o. </w:t>
      </w:r>
      <w:r w:rsidR="009A3A1A" w:rsidRPr="00F157DC">
        <w:rPr>
          <w:rFonts w:ascii="Times New Roman" w:hAnsi="Times New Roman" w:cs="Times New Roman"/>
          <w:sz w:val="24"/>
          <w:szCs w:val="24"/>
        </w:rPr>
        <w:t>7052 para</w:t>
      </w:r>
      <w:r w:rsidR="005A0745" w:rsidRPr="00F157DC">
        <w:rPr>
          <w:rFonts w:ascii="Times New Roman" w:hAnsi="Times New Roman" w:cs="Times New Roman"/>
          <w:sz w:val="24"/>
          <w:szCs w:val="24"/>
        </w:rPr>
        <w:t xml:space="preserve"> modificar la fuente </w:t>
      </w:r>
      <w:r w:rsidR="005A0745" w:rsidRPr="00F157DC">
        <w:rPr>
          <w:rFonts w:ascii="Times New Roman" w:hAnsi="Times New Roman" w:cs="Times New Roman"/>
          <w:sz w:val="24"/>
          <w:szCs w:val="24"/>
        </w:rPr>
        <w:lastRenderedPageBreak/>
        <w:t>de capitalización de las mutuales mediante la introducción de un instrumento de captación denominado “c</w:t>
      </w:r>
      <w:r w:rsidR="00212F10" w:rsidRPr="00F157DC">
        <w:rPr>
          <w:rFonts w:ascii="Times New Roman" w:hAnsi="Times New Roman" w:cs="Times New Roman"/>
          <w:sz w:val="24"/>
          <w:szCs w:val="24"/>
        </w:rPr>
        <w:t>uo</w:t>
      </w:r>
      <w:r w:rsidR="005A0745" w:rsidRPr="00F157DC">
        <w:rPr>
          <w:rFonts w:ascii="Times New Roman" w:hAnsi="Times New Roman" w:cs="Times New Roman"/>
          <w:sz w:val="24"/>
          <w:szCs w:val="24"/>
        </w:rPr>
        <w:t>tas de participación mutualista”</w:t>
      </w:r>
      <w:r w:rsidR="005D2451" w:rsidRPr="00F157DC">
        <w:rPr>
          <w:rFonts w:ascii="Times New Roman" w:hAnsi="Times New Roman" w:cs="Times New Roman"/>
          <w:sz w:val="24"/>
          <w:szCs w:val="24"/>
        </w:rPr>
        <w:t>.</w:t>
      </w:r>
    </w:p>
    <w:p w14:paraId="5F08C8DE" w14:textId="77777777" w:rsidR="00834F00" w:rsidRPr="00834F00" w:rsidRDefault="00834F00" w:rsidP="00834F00">
      <w:pPr>
        <w:spacing w:line="480" w:lineRule="auto"/>
        <w:jc w:val="both"/>
        <w:rPr>
          <w:lang w:val="es-ES"/>
        </w:rPr>
      </w:pPr>
    </w:p>
    <w:p w14:paraId="6F0ED34C" w14:textId="77777777" w:rsidR="00590CEB" w:rsidRPr="00F157DC" w:rsidRDefault="005A0745" w:rsidP="00F157DC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157DC">
        <w:rPr>
          <w:rFonts w:ascii="Times New Roman" w:hAnsi="Times New Roman" w:cs="Times New Roman"/>
          <w:sz w:val="24"/>
          <w:szCs w:val="24"/>
          <w:lang w:val="es-ES"/>
        </w:rPr>
        <w:t xml:space="preserve">Que </w:t>
      </w:r>
      <w:r w:rsidRPr="00F157DC">
        <w:rPr>
          <w:rFonts w:ascii="Times New Roman" w:hAnsi="Times New Roman" w:cs="Times New Roman"/>
          <w:sz w:val="24"/>
          <w:szCs w:val="24"/>
        </w:rPr>
        <w:t xml:space="preserve">lo anterior tiene como objetivo </w:t>
      </w:r>
      <w:r w:rsidR="003E157B" w:rsidRPr="00F157DC">
        <w:rPr>
          <w:rFonts w:ascii="Times New Roman" w:hAnsi="Times New Roman" w:cs="Times New Roman"/>
          <w:sz w:val="24"/>
          <w:szCs w:val="24"/>
        </w:rPr>
        <w:t xml:space="preserve">robustecer las cuentas patrimoniales de las mutuales y </w:t>
      </w:r>
      <w:r w:rsidRPr="00F157DC">
        <w:rPr>
          <w:rFonts w:ascii="Times New Roman" w:hAnsi="Times New Roman" w:cs="Times New Roman"/>
          <w:sz w:val="24"/>
          <w:szCs w:val="24"/>
        </w:rPr>
        <w:t>con</w:t>
      </w:r>
      <w:r w:rsidR="003E157B" w:rsidRPr="00F157DC">
        <w:rPr>
          <w:rFonts w:ascii="Times New Roman" w:hAnsi="Times New Roman" w:cs="Times New Roman"/>
          <w:sz w:val="24"/>
          <w:szCs w:val="24"/>
        </w:rPr>
        <w:t xml:space="preserve"> ello</w:t>
      </w:r>
      <w:r w:rsidRPr="00F157DC">
        <w:rPr>
          <w:rFonts w:ascii="Times New Roman" w:hAnsi="Times New Roman" w:cs="Times New Roman"/>
          <w:sz w:val="24"/>
          <w:szCs w:val="24"/>
        </w:rPr>
        <w:t xml:space="preserve"> fortalecer la</w:t>
      </w:r>
      <w:r w:rsidR="003E157B" w:rsidRPr="00F157DC">
        <w:rPr>
          <w:rFonts w:ascii="Times New Roman" w:hAnsi="Times New Roman" w:cs="Times New Roman"/>
          <w:sz w:val="24"/>
          <w:szCs w:val="24"/>
        </w:rPr>
        <w:t xml:space="preserve"> posición</w:t>
      </w:r>
      <w:r w:rsidRPr="00F157DC">
        <w:rPr>
          <w:rFonts w:ascii="Times New Roman" w:hAnsi="Times New Roman" w:cs="Times New Roman"/>
          <w:sz w:val="24"/>
          <w:szCs w:val="24"/>
        </w:rPr>
        <w:t xml:space="preserve"> de las mutuales</w:t>
      </w:r>
      <w:r w:rsidR="003E157B" w:rsidRPr="00F157DC">
        <w:rPr>
          <w:rFonts w:ascii="Times New Roman" w:hAnsi="Times New Roman" w:cs="Times New Roman"/>
          <w:sz w:val="24"/>
          <w:szCs w:val="24"/>
        </w:rPr>
        <w:t xml:space="preserve"> ante los retos que imponen la nueva visión de supervisión basada en riesgos. </w:t>
      </w:r>
    </w:p>
    <w:p w14:paraId="26CD04F8" w14:textId="77777777" w:rsidR="005D2451" w:rsidRPr="00F157DC" w:rsidRDefault="005D2451" w:rsidP="00F157DC">
      <w:pPr>
        <w:spacing w:line="480" w:lineRule="auto"/>
        <w:jc w:val="both"/>
        <w:rPr>
          <w:lang w:val="es-ES"/>
        </w:rPr>
      </w:pPr>
    </w:p>
    <w:p w14:paraId="22446966" w14:textId="77777777" w:rsidR="003E157B" w:rsidRPr="00F157DC" w:rsidRDefault="003E157B" w:rsidP="00F157DC">
      <w:pPr>
        <w:pStyle w:val="Prrafodelista"/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F157DC">
        <w:rPr>
          <w:rFonts w:ascii="Times New Roman" w:hAnsi="Times New Roman" w:cs="Times New Roman"/>
          <w:sz w:val="24"/>
          <w:szCs w:val="24"/>
        </w:rPr>
        <w:t xml:space="preserve">Que el artículo </w:t>
      </w:r>
      <w:r w:rsidR="005A0745" w:rsidRPr="00F157DC">
        <w:rPr>
          <w:rFonts w:ascii="Times New Roman" w:hAnsi="Times New Roman" w:cs="Times New Roman"/>
          <w:sz w:val="24"/>
          <w:szCs w:val="24"/>
        </w:rPr>
        <w:t xml:space="preserve">2 de la </w:t>
      </w:r>
      <w:r w:rsidR="000248BC" w:rsidRPr="000248BC">
        <w:rPr>
          <w:rFonts w:ascii="Times New Roman" w:hAnsi="Times New Roman" w:cs="Times New Roman"/>
          <w:color w:val="000000" w:themeColor="text1"/>
          <w:sz w:val="24"/>
          <w:szCs w:val="24"/>
        </w:rPr>
        <w:t>Reforma Ley del Sistema Financiero Nacional para la Vivienda y Creación del BANHVI (Banco Hipotecario de la Vivienda) para modernizar las fuentes de capitalización de la mutuales</w:t>
      </w:r>
      <w:r w:rsidR="000248BC">
        <w:rPr>
          <w:rFonts w:ascii="Times New Roman" w:hAnsi="Times New Roman" w:cs="Times New Roman"/>
          <w:sz w:val="24"/>
          <w:szCs w:val="24"/>
        </w:rPr>
        <w:t xml:space="preserve">, </w:t>
      </w:r>
      <w:r w:rsidR="005A0745" w:rsidRPr="00F157DC">
        <w:rPr>
          <w:rFonts w:ascii="Times New Roman" w:hAnsi="Times New Roman" w:cs="Times New Roman"/>
          <w:sz w:val="24"/>
          <w:szCs w:val="24"/>
        </w:rPr>
        <w:t xml:space="preserve">Ley </w:t>
      </w:r>
      <w:r w:rsidR="005A0745" w:rsidRPr="00F157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_tradnl"/>
        </w:rPr>
        <w:t>N</w:t>
      </w:r>
      <w:r w:rsidR="000248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_tradnl"/>
        </w:rPr>
        <w:t>o.</w:t>
      </w:r>
      <w:r w:rsidR="005A0745" w:rsidRPr="00F157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" w:eastAsia="es-ES_tradnl"/>
        </w:rPr>
        <w:t xml:space="preserve"> </w:t>
      </w:r>
      <w:r w:rsidR="005A0745" w:rsidRPr="00F157DC">
        <w:rPr>
          <w:rFonts w:ascii="Times New Roman" w:hAnsi="Times New Roman" w:cs="Times New Roman"/>
          <w:sz w:val="24"/>
          <w:szCs w:val="24"/>
        </w:rPr>
        <w:t>9199</w:t>
      </w:r>
      <w:r w:rsidR="000248BC">
        <w:rPr>
          <w:rFonts w:ascii="Times New Roman" w:hAnsi="Times New Roman" w:cs="Times New Roman"/>
          <w:sz w:val="24"/>
          <w:szCs w:val="24"/>
        </w:rPr>
        <w:t>,</w:t>
      </w:r>
      <w:r w:rsidR="005A0745" w:rsidRPr="00F157DC">
        <w:rPr>
          <w:rFonts w:ascii="Times New Roman" w:hAnsi="Times New Roman" w:cs="Times New Roman"/>
          <w:sz w:val="24"/>
          <w:szCs w:val="24"/>
        </w:rPr>
        <w:t xml:space="preserve"> </w:t>
      </w:r>
      <w:r w:rsidRPr="00F157DC">
        <w:rPr>
          <w:rFonts w:ascii="Times New Roman" w:hAnsi="Times New Roman" w:cs="Times New Roman"/>
          <w:sz w:val="24"/>
          <w:szCs w:val="24"/>
        </w:rPr>
        <w:t xml:space="preserve">establece que la implementación de </w:t>
      </w:r>
      <w:r w:rsidR="00B453D9" w:rsidRPr="00F157DC">
        <w:rPr>
          <w:rFonts w:ascii="Times New Roman" w:hAnsi="Times New Roman" w:cs="Times New Roman"/>
          <w:sz w:val="24"/>
          <w:szCs w:val="24"/>
        </w:rPr>
        <w:t>dicho</w:t>
      </w:r>
      <w:r w:rsidRPr="00F157DC">
        <w:rPr>
          <w:rFonts w:ascii="Times New Roman" w:hAnsi="Times New Roman" w:cs="Times New Roman"/>
          <w:sz w:val="24"/>
          <w:szCs w:val="24"/>
        </w:rPr>
        <w:t xml:space="preserve"> modelo de capitalización está sujeto a </w:t>
      </w:r>
      <w:r w:rsidR="00B453D9" w:rsidRPr="00F157DC">
        <w:rPr>
          <w:rFonts w:ascii="Times New Roman" w:hAnsi="Times New Roman" w:cs="Times New Roman"/>
          <w:sz w:val="24"/>
          <w:szCs w:val="24"/>
        </w:rPr>
        <w:t xml:space="preserve">su reglamentación por parte del </w:t>
      </w:r>
      <w:r w:rsidRPr="00F157DC">
        <w:rPr>
          <w:rFonts w:ascii="Times New Roman" w:hAnsi="Times New Roman" w:cs="Times New Roman"/>
          <w:sz w:val="24"/>
          <w:szCs w:val="24"/>
        </w:rPr>
        <w:t xml:space="preserve">Poder Ejecutivo. </w:t>
      </w:r>
    </w:p>
    <w:p w14:paraId="358C3696" w14:textId="77777777" w:rsidR="002B76B6" w:rsidRPr="00F157DC" w:rsidRDefault="002B76B6" w:rsidP="00F157DC">
      <w:pPr>
        <w:pStyle w:val="Prrafodelista"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F16EBBC" w14:textId="77777777" w:rsidR="002B76B6" w:rsidRPr="00F157DC" w:rsidRDefault="002B76B6" w:rsidP="00F157DC">
      <w:pPr>
        <w:spacing w:line="480" w:lineRule="auto"/>
        <w:jc w:val="both"/>
        <w:rPr>
          <w:lang w:val="es-ES"/>
        </w:rPr>
      </w:pPr>
      <w:r w:rsidRPr="00F157DC">
        <w:rPr>
          <w:lang w:val="es-ES"/>
        </w:rPr>
        <w:t xml:space="preserve">Por tanto, </w:t>
      </w:r>
    </w:p>
    <w:p w14:paraId="0D5E83EF" w14:textId="77777777" w:rsidR="00C17E6A" w:rsidRPr="00F157DC" w:rsidRDefault="002B76B6" w:rsidP="00F157DC">
      <w:pPr>
        <w:spacing w:line="480" w:lineRule="auto"/>
        <w:jc w:val="center"/>
        <w:rPr>
          <w:b/>
          <w:bCs/>
          <w:lang w:val="es-ES"/>
        </w:rPr>
      </w:pPr>
      <w:r w:rsidRPr="00F157DC">
        <w:rPr>
          <w:b/>
          <w:bCs/>
          <w:lang w:val="es-ES"/>
        </w:rPr>
        <w:t>D</w:t>
      </w:r>
      <w:r w:rsidR="006856B8">
        <w:rPr>
          <w:b/>
          <w:bCs/>
          <w:lang w:val="es-ES"/>
        </w:rPr>
        <w:t>ECRETAN</w:t>
      </w:r>
      <w:r w:rsidRPr="00F157DC">
        <w:rPr>
          <w:b/>
          <w:bCs/>
          <w:lang w:val="es-ES"/>
        </w:rPr>
        <w:t>:</w:t>
      </w:r>
    </w:p>
    <w:p w14:paraId="7DF82C3B" w14:textId="77777777" w:rsidR="002B76B6" w:rsidRPr="00F157DC" w:rsidRDefault="003E157B" w:rsidP="00CD19CD">
      <w:pPr>
        <w:spacing w:line="480" w:lineRule="auto"/>
        <w:jc w:val="center"/>
        <w:rPr>
          <w:b/>
        </w:rPr>
      </w:pPr>
      <w:r w:rsidRPr="00F157DC">
        <w:rPr>
          <w:b/>
        </w:rPr>
        <w:t xml:space="preserve">Reglamento a la </w:t>
      </w:r>
      <w:r w:rsidR="002B76B6" w:rsidRPr="00F157DC">
        <w:rPr>
          <w:b/>
        </w:rPr>
        <w:t>Ley para</w:t>
      </w:r>
      <w:r w:rsidRPr="00F157DC">
        <w:rPr>
          <w:b/>
        </w:rPr>
        <w:t xml:space="preserve"> la </w:t>
      </w:r>
      <w:r w:rsidR="00F157DC">
        <w:rPr>
          <w:b/>
        </w:rPr>
        <w:t>M</w:t>
      </w:r>
      <w:r w:rsidRPr="00F157DC">
        <w:rPr>
          <w:b/>
        </w:rPr>
        <w:t>odernización</w:t>
      </w:r>
      <w:r w:rsidR="00CD19CD">
        <w:rPr>
          <w:b/>
        </w:rPr>
        <w:t xml:space="preserve"> </w:t>
      </w:r>
      <w:r w:rsidRPr="00F157DC">
        <w:rPr>
          <w:b/>
        </w:rPr>
        <w:t xml:space="preserve">de las </w:t>
      </w:r>
      <w:r w:rsidR="00F157DC">
        <w:rPr>
          <w:b/>
        </w:rPr>
        <w:t>F</w:t>
      </w:r>
      <w:r w:rsidRPr="00F157DC">
        <w:rPr>
          <w:b/>
        </w:rPr>
        <w:t>uentes de Capitalización</w:t>
      </w:r>
    </w:p>
    <w:p w14:paraId="34C5CD6B" w14:textId="77777777" w:rsidR="003E157B" w:rsidRPr="00F157DC" w:rsidRDefault="003E157B" w:rsidP="00F157DC">
      <w:pPr>
        <w:spacing w:line="480" w:lineRule="auto"/>
        <w:jc w:val="center"/>
        <w:rPr>
          <w:b/>
        </w:rPr>
      </w:pPr>
      <w:r w:rsidRPr="00F157DC">
        <w:rPr>
          <w:b/>
        </w:rPr>
        <w:t>de las Mutuales de Ahorro y Préstamo para la Vivienda</w:t>
      </w:r>
    </w:p>
    <w:p w14:paraId="2366509F" w14:textId="77777777" w:rsidR="00AB158F" w:rsidRPr="00F157DC" w:rsidRDefault="00AB158F" w:rsidP="00F157DC">
      <w:pPr>
        <w:spacing w:line="480" w:lineRule="auto"/>
        <w:jc w:val="both"/>
        <w:rPr>
          <w:b/>
        </w:rPr>
      </w:pPr>
    </w:p>
    <w:p w14:paraId="272FB9EE" w14:textId="77777777" w:rsidR="00D50658" w:rsidRPr="00F157DC" w:rsidRDefault="00C17E6A" w:rsidP="00F157DC">
      <w:pPr>
        <w:spacing w:line="480" w:lineRule="auto"/>
        <w:jc w:val="both"/>
        <w:rPr>
          <w:b/>
        </w:rPr>
      </w:pPr>
      <w:r w:rsidRPr="00F157DC">
        <w:rPr>
          <w:b/>
        </w:rPr>
        <w:t>Artículo 1.</w:t>
      </w:r>
      <w:r w:rsidR="000849DA" w:rsidRPr="00F157DC">
        <w:rPr>
          <w:b/>
        </w:rPr>
        <w:t xml:space="preserve">- </w:t>
      </w:r>
      <w:r w:rsidRPr="00F157DC">
        <w:rPr>
          <w:b/>
        </w:rPr>
        <w:t>Objeto</w:t>
      </w:r>
      <w:r w:rsidR="000849DA" w:rsidRPr="00F157DC">
        <w:rPr>
          <w:b/>
        </w:rPr>
        <w:t>:</w:t>
      </w:r>
      <w:r w:rsidR="005D2451" w:rsidRPr="00F157DC">
        <w:rPr>
          <w:b/>
        </w:rPr>
        <w:t xml:space="preserve"> </w:t>
      </w:r>
      <w:r w:rsidR="00D50658" w:rsidRPr="00F157DC">
        <w:t xml:space="preserve">El presente Reglamento tiene por objeto precisar los alcances de la reforma a la Ley del Sistema Financiero </w:t>
      </w:r>
      <w:r w:rsidR="003B6B3B" w:rsidRPr="00F157DC">
        <w:t xml:space="preserve">Nacional </w:t>
      </w:r>
      <w:r w:rsidR="00D50658" w:rsidRPr="00F157DC">
        <w:t xml:space="preserve">para la Vivienda que </w:t>
      </w:r>
      <w:r w:rsidR="004573A1" w:rsidRPr="00F157DC">
        <w:t>establece las</w:t>
      </w:r>
      <w:r w:rsidR="00D50658" w:rsidRPr="00F157DC">
        <w:t xml:space="preserve"> Cuotas de Participación Mutualistas como valores nominativos para el fortalecimiento del patrimonio de las Asociaciones Mutualistas</w:t>
      </w:r>
      <w:r w:rsidR="00993B80" w:rsidRPr="00F157DC">
        <w:t xml:space="preserve"> de Ahorro y Préstamo</w:t>
      </w:r>
      <w:r w:rsidR="00D50658" w:rsidRPr="00F157DC">
        <w:t>.</w:t>
      </w:r>
    </w:p>
    <w:p w14:paraId="6CFCB4F4" w14:textId="77777777" w:rsidR="005D2451" w:rsidRPr="00F157DC" w:rsidRDefault="005D2451" w:rsidP="00F157DC">
      <w:pPr>
        <w:spacing w:line="480" w:lineRule="auto"/>
        <w:jc w:val="both"/>
      </w:pPr>
    </w:p>
    <w:p w14:paraId="35B6D825" w14:textId="77777777" w:rsidR="00D50658" w:rsidRDefault="00D50658" w:rsidP="00F157DC">
      <w:pPr>
        <w:spacing w:line="480" w:lineRule="auto"/>
        <w:jc w:val="both"/>
      </w:pPr>
      <w:r w:rsidRPr="00F157DC">
        <w:rPr>
          <w:b/>
        </w:rPr>
        <w:lastRenderedPageBreak/>
        <w:t>Artículo</w:t>
      </w:r>
      <w:r w:rsidR="00CD19CD">
        <w:rPr>
          <w:b/>
        </w:rPr>
        <w:t xml:space="preserve"> </w:t>
      </w:r>
      <w:r w:rsidRPr="00F157DC">
        <w:rPr>
          <w:b/>
        </w:rPr>
        <w:t>2.- Concepto de Cuotas de Participación Mutualista</w:t>
      </w:r>
      <w:r w:rsidR="000849DA" w:rsidRPr="00F157DC">
        <w:rPr>
          <w:b/>
        </w:rPr>
        <w:t>:</w:t>
      </w:r>
      <w:r w:rsidR="005D2451" w:rsidRPr="00F157DC">
        <w:rPr>
          <w:b/>
        </w:rPr>
        <w:t xml:space="preserve"> </w:t>
      </w:r>
      <w:r w:rsidRPr="00F157DC">
        <w:t xml:space="preserve">Las Cuotas </w:t>
      </w:r>
      <w:r w:rsidR="00CE692B" w:rsidRPr="00F157DC">
        <w:t xml:space="preserve">de </w:t>
      </w:r>
      <w:r w:rsidRPr="00F157DC">
        <w:t>Participación Mutualistas son valores nominativos de contenido económico o patrimonial, de plazo perpetuo, que no pueden ser convertidos a otra clase de instrumentos o valor</w:t>
      </w:r>
      <w:r w:rsidR="00F22E46" w:rsidRPr="00F157DC">
        <w:t>es</w:t>
      </w:r>
      <w:r w:rsidRPr="00F157DC">
        <w:t xml:space="preserve"> y que formarán parte del patrimonio de las Mutuales de Ahorro y Préstamo, de conformidad con los términos de la ley y del </w:t>
      </w:r>
      <w:proofErr w:type="spellStart"/>
      <w:r w:rsidRPr="00F157DC">
        <w:t>presente</w:t>
      </w:r>
      <w:proofErr w:type="spellEnd"/>
      <w:r w:rsidRPr="00F157DC">
        <w:t xml:space="preserve"> </w:t>
      </w:r>
      <w:proofErr w:type="spellStart"/>
      <w:r w:rsidRPr="00F157DC">
        <w:t>reglamento</w:t>
      </w:r>
      <w:proofErr w:type="spellEnd"/>
      <w:r w:rsidRPr="00F157DC">
        <w:t>.</w:t>
      </w:r>
    </w:p>
    <w:p w14:paraId="428EE5AC" w14:textId="77777777" w:rsidR="00492A89" w:rsidRPr="00F157DC" w:rsidRDefault="00492A89" w:rsidP="00F157DC">
      <w:pPr>
        <w:spacing w:line="480" w:lineRule="auto"/>
        <w:jc w:val="both"/>
      </w:pPr>
    </w:p>
    <w:p w14:paraId="7F0DD657" w14:textId="77777777" w:rsidR="00C17E6A" w:rsidRPr="00F157DC" w:rsidRDefault="00C17E6A" w:rsidP="00F157DC">
      <w:pPr>
        <w:spacing w:line="480" w:lineRule="auto"/>
        <w:jc w:val="both"/>
        <w:rPr>
          <w:b/>
        </w:rPr>
      </w:pPr>
      <w:r w:rsidRPr="00F157DC">
        <w:rPr>
          <w:b/>
        </w:rPr>
        <w:t xml:space="preserve">Artículo 3.- Las Cuotas de Participación Mutualista como parte del patrimonio de la mutual emisora: </w:t>
      </w:r>
      <w:r w:rsidRPr="00F157DC">
        <w:t>Las Cuotas de Participación Mutualista formarán parte del patrimonio de la Asociación Mutualista emisora, junto con las donaciones de terceros, las utilidades acumuladas de periodos anteriores y las utilidades del periodo conforme a lo establecido por las Normas Internacionales de Información Financiera (NIIF)</w:t>
      </w:r>
      <w:r w:rsidR="00F157DC">
        <w:t xml:space="preserve">, </w:t>
      </w:r>
      <w:r w:rsidRPr="00F157DC">
        <w:t xml:space="preserve"> las buenas prácticas contables y financieras</w:t>
      </w:r>
      <w:r w:rsidR="00F157DC">
        <w:t>,</w:t>
      </w:r>
      <w:r w:rsidRPr="00F157DC">
        <w:t xml:space="preserve"> las disposiciones de la Superintendencia General de Entidades Financieras</w:t>
      </w:r>
      <w:r w:rsidR="00296955" w:rsidRPr="00F157DC">
        <w:t xml:space="preserve"> </w:t>
      </w:r>
      <w:r w:rsidR="008208D4" w:rsidRPr="00F157DC">
        <w:t>(</w:t>
      </w:r>
      <w:r w:rsidR="00296955" w:rsidRPr="00F157DC">
        <w:t>SUGEF)</w:t>
      </w:r>
      <w:r w:rsidRPr="00F157DC">
        <w:t xml:space="preserve"> </w:t>
      </w:r>
      <w:r w:rsidR="00D56CEC" w:rsidRPr="00F157DC">
        <w:t>y</w:t>
      </w:r>
      <w:r w:rsidRPr="00F157DC">
        <w:t xml:space="preserve"> </w:t>
      </w:r>
      <w:r w:rsidR="00D56CEC" w:rsidRPr="00F157DC">
        <w:t>del</w:t>
      </w:r>
      <w:r w:rsidR="00E96BF5" w:rsidRPr="00F157DC">
        <w:t xml:space="preserve"> Consejo Nacional de Supervisión del Sistema Financiero (CONASSIF)</w:t>
      </w:r>
      <w:r w:rsidRPr="00F157DC">
        <w:t xml:space="preserve"> en esta materia.  </w:t>
      </w:r>
    </w:p>
    <w:p w14:paraId="50E4C629" w14:textId="77777777" w:rsidR="005D2451" w:rsidRPr="00F157DC" w:rsidRDefault="005D2451" w:rsidP="00F157DC">
      <w:pPr>
        <w:spacing w:line="480" w:lineRule="auto"/>
        <w:jc w:val="both"/>
      </w:pPr>
    </w:p>
    <w:p w14:paraId="7392E4CA" w14:textId="77777777" w:rsidR="005D2451" w:rsidRPr="00F157DC" w:rsidRDefault="00C17E6A" w:rsidP="00F157DC">
      <w:pPr>
        <w:spacing w:line="480" w:lineRule="auto"/>
        <w:jc w:val="both"/>
      </w:pPr>
      <w:r w:rsidRPr="00F157DC">
        <w:rPr>
          <w:b/>
        </w:rPr>
        <w:t xml:space="preserve">Artículo 4.- Características de las emisiones de Cuotas de Participación Mutualista:  </w:t>
      </w:r>
      <w:r w:rsidRPr="00F157DC">
        <w:t>Las emisiones de las Cuotas de Participación Mutualista se regirán por lo establecido en las leyes que le son aplicables: Código de Comercio, Ley No. 7732</w:t>
      </w:r>
      <w:r w:rsidR="00F157DC">
        <w:t>,</w:t>
      </w:r>
      <w:r w:rsidRPr="00F157DC">
        <w:t xml:space="preserve"> Ley Reguladora del Mercado de Valores y la Ley No.7052</w:t>
      </w:r>
      <w:r w:rsidR="00F157DC">
        <w:t>,</w:t>
      </w:r>
      <w:r w:rsidRPr="00F157DC">
        <w:t xml:space="preserve"> Ley del Sistema Financiero Nacional para la </w:t>
      </w:r>
      <w:r w:rsidR="00442F31" w:rsidRPr="00F157DC">
        <w:t xml:space="preserve">Vivienda, </w:t>
      </w:r>
      <w:r w:rsidR="00003B76">
        <w:t xml:space="preserve">Ley No. 7052, </w:t>
      </w:r>
      <w:r w:rsidR="00442F31" w:rsidRPr="00F157DC">
        <w:t xml:space="preserve">así como </w:t>
      </w:r>
      <w:r w:rsidRPr="00F157DC">
        <w:t>regulaci</w:t>
      </w:r>
      <w:r w:rsidR="00442F31" w:rsidRPr="00F157DC">
        <w:t xml:space="preserve">ones </w:t>
      </w:r>
      <w:r w:rsidRPr="00F157DC">
        <w:t>emitida</w:t>
      </w:r>
      <w:r w:rsidR="00442F31" w:rsidRPr="00F157DC">
        <w:t>s</w:t>
      </w:r>
      <w:r w:rsidRPr="00F157DC">
        <w:t xml:space="preserve"> por el CONASSIF</w:t>
      </w:r>
      <w:r w:rsidR="00210624">
        <w:t xml:space="preserve"> y SUGEF. </w:t>
      </w:r>
    </w:p>
    <w:p w14:paraId="656007AD" w14:textId="77777777" w:rsidR="00442F31" w:rsidRPr="00F157DC" w:rsidRDefault="00442F31" w:rsidP="00F157DC">
      <w:pPr>
        <w:spacing w:line="480" w:lineRule="auto"/>
        <w:jc w:val="both"/>
      </w:pPr>
    </w:p>
    <w:p w14:paraId="30136013" w14:textId="77777777" w:rsidR="00D50658" w:rsidRPr="00F157DC" w:rsidRDefault="00D50658" w:rsidP="00F157DC">
      <w:pPr>
        <w:spacing w:line="480" w:lineRule="auto"/>
        <w:jc w:val="both"/>
        <w:rPr>
          <w:b/>
        </w:rPr>
      </w:pPr>
      <w:r w:rsidRPr="00F157DC">
        <w:rPr>
          <w:b/>
        </w:rPr>
        <w:t xml:space="preserve">Artículo </w:t>
      </w:r>
      <w:r w:rsidR="00C17E6A" w:rsidRPr="00F157DC">
        <w:rPr>
          <w:b/>
        </w:rPr>
        <w:t>5</w:t>
      </w:r>
      <w:r w:rsidRPr="00F157DC">
        <w:rPr>
          <w:b/>
        </w:rPr>
        <w:t>.- De los derechos económicos de las Cuotas de Participación Mutualista:</w:t>
      </w:r>
    </w:p>
    <w:p w14:paraId="725985C7" w14:textId="77777777" w:rsidR="005D2451" w:rsidRPr="00F157DC" w:rsidRDefault="00D50658" w:rsidP="00F157DC">
      <w:pPr>
        <w:spacing w:line="480" w:lineRule="auto"/>
        <w:jc w:val="both"/>
      </w:pPr>
      <w:r w:rsidRPr="00F157DC">
        <w:t xml:space="preserve">Las Cuotas de Participación Mutualista solamente conferirán derecho a sus tenedores a recibir </w:t>
      </w:r>
      <w:r w:rsidR="0085453C" w:rsidRPr="00F157DC">
        <w:t xml:space="preserve">una retribución económica anual, </w:t>
      </w:r>
      <w:r w:rsidR="00993B80" w:rsidRPr="00F157DC">
        <w:t xml:space="preserve">cuando así lo acuerde la Asamblea de Asociados. El </w:t>
      </w:r>
      <w:r w:rsidR="0085453C" w:rsidRPr="00F157DC">
        <w:t>cálculo</w:t>
      </w:r>
      <w:r w:rsidR="00F22E46" w:rsidRPr="00F157DC">
        <w:t xml:space="preserve"> y pago</w:t>
      </w:r>
      <w:r w:rsidR="0085453C" w:rsidRPr="00F157DC">
        <w:t xml:space="preserve"> </w:t>
      </w:r>
      <w:r w:rsidR="0085453C" w:rsidRPr="00F157DC">
        <w:lastRenderedPageBreak/>
        <w:t xml:space="preserve">se efectuará en la </w:t>
      </w:r>
      <w:r w:rsidR="001310D4" w:rsidRPr="00F157DC">
        <w:t>forma que</w:t>
      </w:r>
      <w:r w:rsidRPr="00F157DC">
        <w:t xml:space="preserve"> el acuerdo de emisión lo indique</w:t>
      </w:r>
      <w:r w:rsidR="009F18B9" w:rsidRPr="00F157DC">
        <w:t>.   L</w:t>
      </w:r>
      <w:r w:rsidRPr="00F157DC">
        <w:t xml:space="preserve">as cuotas no darán derecho a intervenir en la administración de la Asociación Mutualista emisora ni en las Asambleas de Asociados. </w:t>
      </w:r>
    </w:p>
    <w:p w14:paraId="6F6E0B11" w14:textId="77777777" w:rsidR="00D50658" w:rsidRDefault="00D50658" w:rsidP="00F157DC">
      <w:pPr>
        <w:spacing w:line="480" w:lineRule="auto"/>
        <w:jc w:val="both"/>
      </w:pPr>
      <w:r w:rsidRPr="00F157DC">
        <w:t xml:space="preserve">La Asamblea </w:t>
      </w:r>
      <w:r w:rsidR="00993B80" w:rsidRPr="00F157DC">
        <w:t xml:space="preserve">General </w:t>
      </w:r>
      <w:r w:rsidR="003B6B3B" w:rsidRPr="00F157DC">
        <w:t xml:space="preserve">de </w:t>
      </w:r>
      <w:r w:rsidR="002C1F75" w:rsidRPr="00F157DC">
        <w:t xml:space="preserve">Asociados </w:t>
      </w:r>
      <w:r w:rsidRPr="00F157DC">
        <w:t xml:space="preserve">podrá establecer en su acuerdo de emisión una delegación a la Junta Directiva de la emisora para que sea ésta la que defina cualquier otra característica de la emisión </w:t>
      </w:r>
      <w:proofErr w:type="gramStart"/>
      <w:r w:rsidRPr="00F157DC">
        <w:t>a</w:t>
      </w:r>
      <w:proofErr w:type="gramEnd"/>
      <w:r w:rsidRPr="00F157DC">
        <w:t xml:space="preserve"> efecto de facilitar el proceso </w:t>
      </w:r>
      <w:proofErr w:type="spellStart"/>
      <w:r w:rsidRPr="00F157DC">
        <w:t>operativo</w:t>
      </w:r>
      <w:proofErr w:type="spellEnd"/>
      <w:r w:rsidRPr="00F157DC">
        <w:t xml:space="preserve"> de </w:t>
      </w:r>
      <w:proofErr w:type="spellStart"/>
      <w:r w:rsidRPr="00F157DC">
        <w:t>su</w:t>
      </w:r>
      <w:proofErr w:type="spellEnd"/>
      <w:r w:rsidRPr="00F157DC">
        <w:t xml:space="preserve"> </w:t>
      </w:r>
      <w:proofErr w:type="spellStart"/>
      <w:r w:rsidRPr="00F157DC">
        <w:t>colocación</w:t>
      </w:r>
      <w:proofErr w:type="spellEnd"/>
      <w:r w:rsidRPr="00F157DC">
        <w:t xml:space="preserve"> </w:t>
      </w:r>
      <w:proofErr w:type="spellStart"/>
      <w:r w:rsidRPr="00F157DC">
        <w:t>en</w:t>
      </w:r>
      <w:proofErr w:type="spellEnd"/>
      <w:r w:rsidRPr="00F157DC">
        <w:t xml:space="preserve"> el mercado.</w:t>
      </w:r>
    </w:p>
    <w:p w14:paraId="6BAB7B0B" w14:textId="77777777" w:rsidR="00492A89" w:rsidRPr="00F157DC" w:rsidRDefault="00492A89" w:rsidP="00F157DC">
      <w:pPr>
        <w:spacing w:line="480" w:lineRule="auto"/>
        <w:jc w:val="both"/>
      </w:pPr>
    </w:p>
    <w:p w14:paraId="2C9C362E" w14:textId="77777777" w:rsidR="005D2451" w:rsidRPr="00CD19CD" w:rsidRDefault="00D50658" w:rsidP="00F157DC">
      <w:pPr>
        <w:spacing w:line="480" w:lineRule="auto"/>
        <w:jc w:val="both"/>
        <w:rPr>
          <w:b/>
        </w:rPr>
      </w:pPr>
      <w:r w:rsidRPr="00F157DC">
        <w:rPr>
          <w:b/>
        </w:rPr>
        <w:t xml:space="preserve">Artículo </w:t>
      </w:r>
      <w:r w:rsidR="000849DA" w:rsidRPr="00F157DC">
        <w:rPr>
          <w:b/>
        </w:rPr>
        <w:t>6</w:t>
      </w:r>
      <w:r w:rsidRPr="00F157DC">
        <w:rPr>
          <w:b/>
        </w:rPr>
        <w:t>.</w:t>
      </w:r>
      <w:r w:rsidR="0050063C" w:rsidRPr="00F157DC">
        <w:rPr>
          <w:b/>
        </w:rPr>
        <w:t>- Del</w:t>
      </w:r>
      <w:r w:rsidRPr="00F157DC">
        <w:rPr>
          <w:b/>
        </w:rPr>
        <w:t xml:space="preserve"> pago de la retribución económica:</w:t>
      </w:r>
      <w:r w:rsidR="005D2451" w:rsidRPr="00F157DC">
        <w:rPr>
          <w:b/>
        </w:rPr>
        <w:t xml:space="preserve"> </w:t>
      </w:r>
      <w:r w:rsidR="00DD168F" w:rsidRPr="00F157DC">
        <w:t xml:space="preserve">El acuerdo correspondiente </w:t>
      </w:r>
      <w:r w:rsidR="00226580" w:rsidRPr="00F157DC">
        <w:t>al pago</w:t>
      </w:r>
      <w:r w:rsidRPr="00F157DC">
        <w:t xml:space="preserve"> de la retribución económica asociada a la tenencia de </w:t>
      </w:r>
      <w:r w:rsidR="00226580" w:rsidRPr="00F157DC">
        <w:t>cuotas de</w:t>
      </w:r>
      <w:r w:rsidRPr="00F157DC">
        <w:t xml:space="preserve"> participación mutualista</w:t>
      </w:r>
      <w:r w:rsidR="00DD168F" w:rsidRPr="00F157DC">
        <w:t xml:space="preserve"> será </w:t>
      </w:r>
      <w:r w:rsidRPr="00F157DC">
        <w:t xml:space="preserve">una facultad discrecional de la </w:t>
      </w:r>
      <w:r w:rsidR="00226580" w:rsidRPr="00F157DC">
        <w:t>Asamblea de</w:t>
      </w:r>
      <w:r w:rsidRPr="00F157DC">
        <w:t xml:space="preserve"> Asociados</w:t>
      </w:r>
      <w:r w:rsidR="0085453C" w:rsidRPr="00F157DC">
        <w:t xml:space="preserve"> de la mutual emisora</w:t>
      </w:r>
      <w:r w:rsidR="003A70A6" w:rsidRPr="00F157DC">
        <w:t xml:space="preserve"> sin que ello implique un derecho a la acumulación</w:t>
      </w:r>
      <w:r w:rsidRPr="00F157DC">
        <w:t>.</w:t>
      </w:r>
    </w:p>
    <w:p w14:paraId="7FD74CD0" w14:textId="77777777" w:rsidR="00D50658" w:rsidRPr="00F157DC" w:rsidRDefault="00D50658" w:rsidP="00F157DC">
      <w:pPr>
        <w:spacing w:line="480" w:lineRule="auto"/>
        <w:jc w:val="both"/>
      </w:pPr>
      <w:r w:rsidRPr="00F157DC">
        <w:t>El pago correspondiente tendrá lugar</w:t>
      </w:r>
      <w:r w:rsidR="00114E2D" w:rsidRPr="00F157DC">
        <w:t>, posterior a la declaratoria de utilidades</w:t>
      </w:r>
      <w:r w:rsidRPr="00F157DC">
        <w:t xml:space="preserve"> siempre y cuando la entidad emisora</w:t>
      </w:r>
      <w:r w:rsidR="00F22E46" w:rsidRPr="00F157DC">
        <w:t xml:space="preserve"> registre utilidades en sus balances</w:t>
      </w:r>
      <w:r w:rsidR="00C17E6A" w:rsidRPr="00F157DC">
        <w:t xml:space="preserve"> y que</w:t>
      </w:r>
      <w:r w:rsidR="00BC2E4B" w:rsidRPr="00F157DC">
        <w:t xml:space="preserve"> </w:t>
      </w:r>
      <w:r w:rsidR="00C17E6A" w:rsidRPr="00F157DC">
        <w:t>dicha</w:t>
      </w:r>
      <w:r w:rsidR="00871200" w:rsidRPr="00F157DC">
        <w:t xml:space="preserve"> distribución no afecte</w:t>
      </w:r>
      <w:r w:rsidR="00114E2D" w:rsidRPr="00F157DC">
        <w:t xml:space="preserve"> el mínimo de suficiencia patrimonial o adecuación de capital </w:t>
      </w:r>
      <w:r w:rsidR="00871200" w:rsidRPr="00F157DC">
        <w:t xml:space="preserve">de la entidad conforme </w:t>
      </w:r>
      <w:r w:rsidR="002005CA" w:rsidRPr="00F157DC">
        <w:t xml:space="preserve">a la normativa emitida por </w:t>
      </w:r>
      <w:r w:rsidR="00007975" w:rsidRPr="00F157DC">
        <w:t>CONASSIF</w:t>
      </w:r>
      <w:r w:rsidRPr="00F157DC">
        <w:t>.</w:t>
      </w:r>
      <w:r w:rsidR="00DD168F" w:rsidRPr="00F157DC">
        <w:t xml:space="preserve"> </w:t>
      </w:r>
    </w:p>
    <w:p w14:paraId="01AABA0F" w14:textId="77777777" w:rsidR="005D2451" w:rsidRPr="00F157DC" w:rsidRDefault="005D2451" w:rsidP="00F157DC">
      <w:pPr>
        <w:spacing w:line="480" w:lineRule="auto"/>
        <w:jc w:val="both"/>
      </w:pPr>
    </w:p>
    <w:p w14:paraId="0DB0738C" w14:textId="77777777" w:rsidR="005D2451" w:rsidRPr="00F157DC" w:rsidRDefault="000849DA" w:rsidP="00F157DC">
      <w:pPr>
        <w:spacing w:line="480" w:lineRule="auto"/>
        <w:jc w:val="both"/>
        <w:rPr>
          <w:b/>
        </w:rPr>
      </w:pPr>
      <w:r w:rsidRPr="00F157DC">
        <w:rPr>
          <w:b/>
        </w:rPr>
        <w:t xml:space="preserve">Artículo 7.- De las obligaciones </w:t>
      </w:r>
      <w:r w:rsidR="00FA48B8" w:rsidRPr="00F157DC">
        <w:rPr>
          <w:b/>
        </w:rPr>
        <w:t xml:space="preserve">de los </w:t>
      </w:r>
      <w:r w:rsidR="00454287" w:rsidRPr="00F157DC">
        <w:rPr>
          <w:b/>
        </w:rPr>
        <w:t>inversionistas</w:t>
      </w:r>
      <w:r w:rsidR="00FA48B8" w:rsidRPr="00F157DC">
        <w:rPr>
          <w:b/>
        </w:rPr>
        <w:t xml:space="preserve"> o tenedores</w:t>
      </w:r>
      <w:r w:rsidRPr="00F157DC">
        <w:rPr>
          <w:b/>
        </w:rPr>
        <w:t xml:space="preserve"> </w:t>
      </w:r>
      <w:r w:rsidR="00FA48B8" w:rsidRPr="00F157DC">
        <w:rPr>
          <w:b/>
        </w:rPr>
        <w:t>de</w:t>
      </w:r>
      <w:r w:rsidRPr="00F157DC">
        <w:rPr>
          <w:b/>
        </w:rPr>
        <w:t xml:space="preserve"> las cuotas de participación mutualista:</w:t>
      </w:r>
    </w:p>
    <w:p w14:paraId="454D67C7" w14:textId="77777777" w:rsidR="00003B76" w:rsidRPr="00003B76" w:rsidRDefault="00454287" w:rsidP="00003B76">
      <w:pPr>
        <w:pStyle w:val="Prrafodelista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7DC">
        <w:rPr>
          <w:rFonts w:ascii="Times New Roman" w:hAnsi="Times New Roman" w:cs="Times New Roman"/>
          <w:sz w:val="24"/>
          <w:szCs w:val="24"/>
        </w:rPr>
        <w:t>L</w:t>
      </w:r>
      <w:r w:rsidR="000849DA" w:rsidRPr="00F157DC">
        <w:rPr>
          <w:rFonts w:ascii="Times New Roman" w:hAnsi="Times New Roman" w:cs="Times New Roman"/>
          <w:sz w:val="24"/>
          <w:szCs w:val="24"/>
        </w:rPr>
        <w:t xml:space="preserve">os inversionistas u adquirentes de los valores denominados “cuotas de participación mutualista” están sujetos a la aplicación de </w:t>
      </w:r>
      <w:r w:rsidR="00F157DC">
        <w:rPr>
          <w:rFonts w:ascii="Times New Roman" w:hAnsi="Times New Roman" w:cs="Times New Roman"/>
          <w:sz w:val="24"/>
          <w:szCs w:val="24"/>
        </w:rPr>
        <w:t>la</w:t>
      </w:r>
      <w:r w:rsidR="000849DA" w:rsidRPr="00F157DC">
        <w:rPr>
          <w:rFonts w:ascii="Times New Roman" w:hAnsi="Times New Roman" w:cs="Times New Roman"/>
          <w:sz w:val="24"/>
          <w:szCs w:val="24"/>
        </w:rPr>
        <w:t xml:space="preserve"> “Política Conozca a su Cliente”, en todos sus alcances en observancia de la</w:t>
      </w:r>
      <w:r w:rsidR="00003B76">
        <w:rPr>
          <w:rFonts w:ascii="Times New Roman" w:hAnsi="Times New Roman" w:cs="Times New Roman"/>
          <w:sz w:val="24"/>
          <w:szCs w:val="24"/>
        </w:rPr>
        <w:t xml:space="preserve"> </w:t>
      </w:r>
      <w:r w:rsidR="000849DA" w:rsidRPr="00F157DC">
        <w:rPr>
          <w:rFonts w:ascii="Times New Roman" w:hAnsi="Times New Roman" w:cs="Times New Roman"/>
          <w:sz w:val="24"/>
          <w:szCs w:val="24"/>
        </w:rPr>
        <w:t xml:space="preserve"> </w:t>
      </w:r>
      <w:r w:rsidR="00003B76" w:rsidRPr="00003B76">
        <w:rPr>
          <w:rFonts w:ascii="Times New Roman" w:hAnsi="Times New Roman" w:cs="Times New Roman"/>
          <w:sz w:val="24"/>
          <w:szCs w:val="24"/>
        </w:rPr>
        <w:t>Ley sobre estupefacientes, sustancias psicotrópicas, drogas de uso no autorizado, actividades conexas, legitimación de capitales y financiamiento al terrorismo</w:t>
      </w:r>
      <w:r w:rsidR="00003B76">
        <w:rPr>
          <w:rFonts w:ascii="Times New Roman" w:hAnsi="Times New Roman" w:cs="Times New Roman"/>
          <w:sz w:val="24"/>
          <w:szCs w:val="24"/>
        </w:rPr>
        <w:t xml:space="preserve">, </w:t>
      </w:r>
      <w:r w:rsidR="00003B76" w:rsidRPr="00003B76">
        <w:rPr>
          <w:rFonts w:ascii="Times New Roman" w:hAnsi="Times New Roman" w:cs="Times New Roman"/>
          <w:sz w:val="24"/>
          <w:szCs w:val="24"/>
        </w:rPr>
        <w:t>L</w:t>
      </w:r>
      <w:r w:rsidR="000849DA" w:rsidRPr="00003B76">
        <w:rPr>
          <w:rFonts w:ascii="Times New Roman" w:hAnsi="Times New Roman" w:cs="Times New Roman"/>
          <w:sz w:val="24"/>
          <w:szCs w:val="24"/>
        </w:rPr>
        <w:t xml:space="preserve">ey </w:t>
      </w:r>
      <w:r w:rsidR="00003B76" w:rsidRPr="00003B76">
        <w:rPr>
          <w:rFonts w:ascii="Times New Roman" w:hAnsi="Times New Roman" w:cs="Times New Roman"/>
          <w:sz w:val="24"/>
          <w:szCs w:val="24"/>
        </w:rPr>
        <w:t xml:space="preserve">No. </w:t>
      </w:r>
      <w:r w:rsidR="000849DA" w:rsidRPr="00003B76">
        <w:rPr>
          <w:rFonts w:ascii="Times New Roman" w:hAnsi="Times New Roman" w:cs="Times New Roman"/>
          <w:sz w:val="24"/>
          <w:szCs w:val="24"/>
        </w:rPr>
        <w:t>8204</w:t>
      </w:r>
      <w:r w:rsidR="00003B76">
        <w:rPr>
          <w:rFonts w:ascii="Times New Roman" w:hAnsi="Times New Roman" w:cs="Times New Roman"/>
          <w:sz w:val="24"/>
          <w:szCs w:val="24"/>
        </w:rPr>
        <w:t>,</w:t>
      </w:r>
      <w:r w:rsidR="000849DA" w:rsidRPr="00003B76">
        <w:rPr>
          <w:rFonts w:ascii="Times New Roman" w:hAnsi="Times New Roman" w:cs="Times New Roman"/>
          <w:sz w:val="24"/>
          <w:szCs w:val="24"/>
        </w:rPr>
        <w:t xml:space="preserve"> vigente y normativa conexa</w:t>
      </w:r>
      <w:r w:rsidR="00F157DC" w:rsidRPr="00003B76">
        <w:rPr>
          <w:rFonts w:ascii="Times New Roman" w:hAnsi="Times New Roman" w:cs="Times New Roman"/>
          <w:sz w:val="24"/>
          <w:szCs w:val="24"/>
        </w:rPr>
        <w:t>.</w:t>
      </w:r>
    </w:p>
    <w:p w14:paraId="45930453" w14:textId="77777777" w:rsidR="00F83A0D" w:rsidRPr="00F157DC" w:rsidRDefault="000849DA" w:rsidP="00F157DC">
      <w:pPr>
        <w:pStyle w:val="Prrafodelista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7DC">
        <w:rPr>
          <w:rFonts w:ascii="Times New Roman" w:hAnsi="Times New Roman" w:cs="Times New Roman"/>
          <w:sz w:val="24"/>
          <w:szCs w:val="24"/>
        </w:rPr>
        <w:lastRenderedPageBreak/>
        <w:t>Los inversionistas o tenedores de las cuotas de participación mutualista estarán sujetos a las obligaciones tributarias definidas en el artículo 23, inciso “</w:t>
      </w:r>
      <w:r w:rsidR="0050063C" w:rsidRPr="00F157DC">
        <w:rPr>
          <w:rFonts w:ascii="Times New Roman" w:hAnsi="Times New Roman" w:cs="Times New Roman"/>
          <w:sz w:val="24"/>
          <w:szCs w:val="24"/>
        </w:rPr>
        <w:t>c” de</w:t>
      </w:r>
      <w:r w:rsidRPr="00F157DC">
        <w:rPr>
          <w:rFonts w:ascii="Times New Roman" w:hAnsi="Times New Roman" w:cs="Times New Roman"/>
          <w:sz w:val="24"/>
          <w:szCs w:val="24"/>
        </w:rPr>
        <w:t xml:space="preserve"> la</w:t>
      </w:r>
      <w:r w:rsidR="00003B76">
        <w:rPr>
          <w:rFonts w:ascii="Times New Roman" w:hAnsi="Times New Roman" w:cs="Times New Roman"/>
          <w:sz w:val="24"/>
          <w:szCs w:val="24"/>
        </w:rPr>
        <w:t xml:space="preserve"> </w:t>
      </w:r>
      <w:r w:rsidR="00003B76" w:rsidRPr="00F157DC">
        <w:rPr>
          <w:rFonts w:ascii="Times New Roman" w:hAnsi="Times New Roman" w:cs="Times New Roman"/>
          <w:sz w:val="24"/>
          <w:szCs w:val="24"/>
        </w:rPr>
        <w:t>Ley del Impuesto Sobre la Renta</w:t>
      </w:r>
      <w:r w:rsidR="00003B76">
        <w:rPr>
          <w:rFonts w:ascii="Times New Roman" w:hAnsi="Times New Roman" w:cs="Times New Roman"/>
          <w:sz w:val="24"/>
          <w:szCs w:val="24"/>
        </w:rPr>
        <w:t>,</w:t>
      </w:r>
      <w:r w:rsidR="00003B76" w:rsidRPr="00F157DC">
        <w:rPr>
          <w:rFonts w:ascii="Times New Roman" w:hAnsi="Times New Roman" w:cs="Times New Roman"/>
          <w:sz w:val="24"/>
          <w:szCs w:val="24"/>
        </w:rPr>
        <w:t xml:space="preserve"> </w:t>
      </w:r>
      <w:r w:rsidR="00003B76">
        <w:rPr>
          <w:rFonts w:ascii="Times New Roman" w:hAnsi="Times New Roman" w:cs="Times New Roman"/>
          <w:sz w:val="24"/>
          <w:szCs w:val="24"/>
        </w:rPr>
        <w:t>L</w:t>
      </w:r>
      <w:r w:rsidRPr="00F157DC">
        <w:rPr>
          <w:rFonts w:ascii="Times New Roman" w:hAnsi="Times New Roman" w:cs="Times New Roman"/>
          <w:sz w:val="24"/>
          <w:szCs w:val="24"/>
        </w:rPr>
        <w:t xml:space="preserve">ey </w:t>
      </w:r>
      <w:r w:rsidR="00003B76">
        <w:rPr>
          <w:rFonts w:ascii="Times New Roman" w:hAnsi="Times New Roman" w:cs="Times New Roman"/>
          <w:sz w:val="24"/>
          <w:szCs w:val="24"/>
        </w:rPr>
        <w:t xml:space="preserve">No </w:t>
      </w:r>
      <w:r w:rsidRPr="00F157DC">
        <w:rPr>
          <w:rFonts w:ascii="Times New Roman" w:hAnsi="Times New Roman" w:cs="Times New Roman"/>
          <w:sz w:val="24"/>
          <w:szCs w:val="24"/>
        </w:rPr>
        <w:t>7092, en cuanto a los rendimientos generados por dichas cuotas.</w:t>
      </w:r>
    </w:p>
    <w:p w14:paraId="3419C57C" w14:textId="77777777" w:rsidR="005D2451" w:rsidRPr="00F157DC" w:rsidRDefault="005D2451" w:rsidP="00F157DC">
      <w:pPr>
        <w:pStyle w:val="Prrafodelista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B9FE03" w14:textId="77777777" w:rsidR="005D2451" w:rsidRPr="0054403E" w:rsidRDefault="00DD168F" w:rsidP="00F157DC">
      <w:pPr>
        <w:spacing w:line="480" w:lineRule="auto"/>
        <w:jc w:val="both"/>
        <w:rPr>
          <w:b/>
        </w:rPr>
      </w:pPr>
      <w:r w:rsidRPr="00F157DC">
        <w:rPr>
          <w:b/>
        </w:rPr>
        <w:t xml:space="preserve">Artículo </w:t>
      </w:r>
      <w:r w:rsidR="00454287" w:rsidRPr="00F157DC">
        <w:rPr>
          <w:b/>
        </w:rPr>
        <w:t>8</w:t>
      </w:r>
      <w:r w:rsidRPr="00F157DC">
        <w:rPr>
          <w:b/>
        </w:rPr>
        <w:t xml:space="preserve">.- De la aprobación de las emisiones de las Cuotas de Participación Mutualista: </w:t>
      </w:r>
      <w:r w:rsidRPr="00F157DC">
        <w:t xml:space="preserve">La aprobación de una emisión de Cuotas de Participación Mutualista y su retribución corresponderá a una Asamblea </w:t>
      </w:r>
      <w:r w:rsidR="00226580" w:rsidRPr="00F157DC">
        <w:t>General de</w:t>
      </w:r>
      <w:r w:rsidRPr="00F157DC">
        <w:t xml:space="preserve"> Asociados de la Mutual emisora, cuya firmeza de acuerdo se adquirirá mediante votación simple de los votos presentes en la misma Asamblea.</w:t>
      </w:r>
    </w:p>
    <w:p w14:paraId="09529C60" w14:textId="77777777" w:rsidR="005D2451" w:rsidRPr="00F157DC" w:rsidRDefault="00DD168F" w:rsidP="00F157DC">
      <w:pPr>
        <w:spacing w:line="480" w:lineRule="auto"/>
        <w:jc w:val="both"/>
      </w:pPr>
      <w:r w:rsidRPr="00F157DC">
        <w:t>En una eventual liquidación de la Mutual emisora, la liquidación de las Cuotas de Participación Mutualista se pagará una</w:t>
      </w:r>
      <w:r w:rsidR="0085453C" w:rsidRPr="00F157DC">
        <w:t xml:space="preserve"> vez que se hayan cancelado todas las </w:t>
      </w:r>
      <w:r w:rsidRPr="00F157DC">
        <w:t>obligaciones de la entidad.</w:t>
      </w:r>
    </w:p>
    <w:p w14:paraId="4145B5D7" w14:textId="77777777" w:rsidR="002F4E23" w:rsidRPr="00F157DC" w:rsidRDefault="00DD168F" w:rsidP="00F157DC">
      <w:pPr>
        <w:spacing w:line="480" w:lineRule="auto"/>
        <w:jc w:val="both"/>
      </w:pPr>
      <w:r w:rsidRPr="00F157DC">
        <w:t>La</w:t>
      </w:r>
      <w:r w:rsidR="009F0A3C" w:rsidRPr="00F157DC">
        <w:t>s</w:t>
      </w:r>
      <w:r w:rsidRPr="00F157DC">
        <w:t xml:space="preserve"> emisi</w:t>
      </w:r>
      <w:r w:rsidR="009F0A3C" w:rsidRPr="00F157DC">
        <w:t>ones</w:t>
      </w:r>
      <w:r w:rsidRPr="00F157DC">
        <w:t xml:space="preserve"> de las Cuotas de Participación Mutualista</w:t>
      </w:r>
      <w:r w:rsidR="000E6BBA" w:rsidRPr="00F157DC">
        <w:t xml:space="preserve"> serán de oferta pública de conformidad </w:t>
      </w:r>
      <w:r w:rsidR="00F157DC">
        <w:t xml:space="preserve">con </w:t>
      </w:r>
      <w:r w:rsidR="000E6BBA" w:rsidRPr="00F157DC">
        <w:t xml:space="preserve">lo que establece la Ley Reguladora del Mercado de Valores y sus reglamentos. </w:t>
      </w:r>
    </w:p>
    <w:p w14:paraId="2A5DBDF7" w14:textId="77777777" w:rsidR="000849DA" w:rsidRPr="00F157DC" w:rsidRDefault="000849DA" w:rsidP="00F157DC">
      <w:pPr>
        <w:spacing w:line="480" w:lineRule="auto"/>
        <w:jc w:val="both"/>
      </w:pPr>
      <w:r w:rsidRPr="00F157DC">
        <w:t>La Asamblea General de Asociados podrá establecer en su acuerdo de emisión una delegación a la Junta Directiva de la emisora para que sea ésta la que defina cualquier otra característica de la emisión a efecto de facilitar el proceso operativo de su colocación en el mercado.</w:t>
      </w:r>
    </w:p>
    <w:p w14:paraId="694D83CC" w14:textId="77777777" w:rsidR="005D2451" w:rsidRPr="00F157DC" w:rsidRDefault="005D2451" w:rsidP="00F157DC">
      <w:pPr>
        <w:spacing w:line="480" w:lineRule="auto"/>
        <w:jc w:val="both"/>
      </w:pPr>
    </w:p>
    <w:p w14:paraId="5DC6057F" w14:textId="77777777" w:rsidR="005D2451" w:rsidRPr="0054403E" w:rsidRDefault="002F6D46" w:rsidP="00F157DC">
      <w:pPr>
        <w:spacing w:line="480" w:lineRule="auto"/>
        <w:jc w:val="both"/>
      </w:pPr>
      <w:r w:rsidRPr="00F157DC">
        <w:rPr>
          <w:b/>
        </w:rPr>
        <w:t xml:space="preserve">Artículo </w:t>
      </w:r>
      <w:r w:rsidR="00454287" w:rsidRPr="00F157DC">
        <w:rPr>
          <w:b/>
        </w:rPr>
        <w:t>9</w:t>
      </w:r>
      <w:r w:rsidR="00A0352E" w:rsidRPr="00F157DC">
        <w:rPr>
          <w:b/>
        </w:rPr>
        <w:t>.- De la transmisión de las Cuotas de Participación Mutualista:</w:t>
      </w:r>
      <w:r w:rsidR="005D2451" w:rsidRPr="00F157DC">
        <w:rPr>
          <w:b/>
        </w:rPr>
        <w:t xml:space="preserve"> </w:t>
      </w:r>
      <w:r w:rsidR="00A0352E" w:rsidRPr="00F157DC">
        <w:t>Las Cuotas de Participación Mutualista serán transmisibles mediante negociación en bolsa</w:t>
      </w:r>
      <w:r w:rsidR="00B939A1" w:rsidRPr="00F157DC">
        <w:t>.</w:t>
      </w:r>
      <w:r w:rsidR="00A0352E" w:rsidRPr="00F157DC">
        <w:t xml:space="preserve"> El emisor llevará un registro conforme a la naturaleza de la emisión y del traspaso</w:t>
      </w:r>
      <w:r w:rsidR="00C17264" w:rsidRPr="00F157DC">
        <w:t xml:space="preserve"> o delegar la administración y custodia del libro de registro en una entidad de custodia autorizada.</w:t>
      </w:r>
    </w:p>
    <w:p w14:paraId="10CDB18E" w14:textId="77777777" w:rsidR="005D2451" w:rsidRPr="00F157DC" w:rsidRDefault="00A0352E" w:rsidP="00F157DC">
      <w:pPr>
        <w:spacing w:line="480" w:lineRule="auto"/>
        <w:jc w:val="both"/>
      </w:pPr>
      <w:r w:rsidRPr="00F157DC">
        <w:t>El Registro de las Cuotas podrá ser físico o electrónico. Este Registro deberá consignar la cuota correspondiente al derecho habiente suscriptor y sucesivamente en orden cronológico los endosatarios.</w:t>
      </w:r>
    </w:p>
    <w:p w14:paraId="3E2154F3" w14:textId="77777777" w:rsidR="00417CE3" w:rsidRPr="00F157DC" w:rsidRDefault="00417CE3" w:rsidP="00F157DC">
      <w:pPr>
        <w:spacing w:line="480" w:lineRule="auto"/>
        <w:jc w:val="both"/>
      </w:pPr>
      <w:r w:rsidRPr="00F157DC">
        <w:lastRenderedPageBreak/>
        <w:t xml:space="preserve">Todos los aspectos relativos al régimen de transmisión de las Cuotas de Participación Mutualistas estarán sujetas a los alcances de la Ley Reguladora del Mercado de </w:t>
      </w:r>
      <w:r w:rsidR="00F40788" w:rsidRPr="00F157DC">
        <w:t>V</w:t>
      </w:r>
      <w:r w:rsidRPr="00F157DC">
        <w:t>alores,</w:t>
      </w:r>
      <w:r w:rsidR="006D5869" w:rsidRPr="00F157DC">
        <w:t xml:space="preserve"> Ley </w:t>
      </w:r>
      <w:r w:rsidR="00A44B6C">
        <w:t>No.</w:t>
      </w:r>
      <w:r w:rsidR="0067159D" w:rsidRPr="00F157DC">
        <w:t xml:space="preserve"> </w:t>
      </w:r>
      <w:r w:rsidR="006D5869" w:rsidRPr="00F157DC">
        <w:t>7732;</w:t>
      </w:r>
      <w:r w:rsidRPr="00F157DC">
        <w:t xml:space="preserve"> </w:t>
      </w:r>
      <w:r w:rsidR="0054403E">
        <w:t>e</w:t>
      </w:r>
      <w:r w:rsidRPr="00F157DC">
        <w:t xml:space="preserve">l </w:t>
      </w:r>
      <w:r w:rsidR="0067159D" w:rsidRPr="00F157DC">
        <w:t>Reglamento de Oferta Pública de Valores</w:t>
      </w:r>
      <w:r w:rsidR="00A44B6C">
        <w:t>, Decreto Ejecutivo No.</w:t>
      </w:r>
      <w:r w:rsidR="0067159D" w:rsidRPr="00F157DC">
        <w:t xml:space="preserve"> </w:t>
      </w:r>
      <w:r w:rsidRPr="00F157DC">
        <w:t xml:space="preserve">y el </w:t>
      </w:r>
      <w:r w:rsidR="00F40788" w:rsidRPr="00F157DC">
        <w:t>C</w:t>
      </w:r>
      <w:r w:rsidRPr="00F157DC">
        <w:t>ódigo de Comercio</w:t>
      </w:r>
      <w:r w:rsidR="00A44B6C">
        <w:t xml:space="preserve">, </w:t>
      </w:r>
      <w:r w:rsidR="00475C8C" w:rsidRPr="00F157DC">
        <w:t>Ley No. 7732</w:t>
      </w:r>
      <w:r w:rsidR="00A44B6C">
        <w:t xml:space="preserve"> </w:t>
      </w:r>
      <w:r w:rsidRPr="00F157DC">
        <w:t xml:space="preserve"> según corresponda.</w:t>
      </w:r>
    </w:p>
    <w:p w14:paraId="1FC4C93E" w14:textId="77777777" w:rsidR="006856B8" w:rsidRDefault="006856B8" w:rsidP="00F157DC">
      <w:pPr>
        <w:spacing w:line="480" w:lineRule="auto"/>
        <w:jc w:val="both"/>
        <w:rPr>
          <w:b/>
        </w:rPr>
      </w:pPr>
    </w:p>
    <w:p w14:paraId="5B6916A1" w14:textId="77777777" w:rsidR="005D2451" w:rsidRPr="00475C8C" w:rsidRDefault="002F6D46" w:rsidP="00F157DC">
      <w:pPr>
        <w:spacing w:line="480" w:lineRule="auto"/>
        <w:jc w:val="both"/>
        <w:rPr>
          <w:b/>
        </w:rPr>
      </w:pPr>
      <w:r w:rsidRPr="00F157DC">
        <w:rPr>
          <w:b/>
        </w:rPr>
        <w:t xml:space="preserve">Artículo </w:t>
      </w:r>
      <w:r w:rsidR="00CE692B" w:rsidRPr="00F157DC">
        <w:rPr>
          <w:b/>
        </w:rPr>
        <w:t>1</w:t>
      </w:r>
      <w:r w:rsidR="00454287" w:rsidRPr="00F157DC">
        <w:rPr>
          <w:b/>
        </w:rPr>
        <w:t>0</w:t>
      </w:r>
      <w:r w:rsidR="00A0352E" w:rsidRPr="00F157DC">
        <w:rPr>
          <w:b/>
        </w:rPr>
        <w:t>.- De la reposición  de las Cuotas de Participación Mutualist</w:t>
      </w:r>
      <w:r w:rsidR="00B03BDD" w:rsidRPr="00F157DC">
        <w:rPr>
          <w:b/>
        </w:rPr>
        <w:t>a</w:t>
      </w:r>
      <w:r w:rsidR="00A0352E" w:rsidRPr="00F157DC">
        <w:rPr>
          <w:b/>
        </w:rPr>
        <w:t>:</w:t>
      </w:r>
      <w:r w:rsidR="005D2451" w:rsidRPr="00F157DC">
        <w:rPr>
          <w:b/>
        </w:rPr>
        <w:t xml:space="preserve"> </w:t>
      </w:r>
      <w:r w:rsidR="00A0352E" w:rsidRPr="00F157DC">
        <w:t xml:space="preserve">Si la emisión fue en forma física, </w:t>
      </w:r>
      <w:r w:rsidR="002C1F75" w:rsidRPr="00F157DC">
        <w:t xml:space="preserve">para los casos previstos en el </w:t>
      </w:r>
      <w:r w:rsidR="00E527AE" w:rsidRPr="00F157DC">
        <w:t>Acuerdo de</w:t>
      </w:r>
      <w:r w:rsidR="00AC5E30" w:rsidRPr="00F157DC">
        <w:t xml:space="preserve"> </w:t>
      </w:r>
      <w:r w:rsidR="00E527AE" w:rsidRPr="00F157DC">
        <w:t>l</w:t>
      </w:r>
      <w:r w:rsidR="00AC5E30" w:rsidRPr="00F157DC">
        <w:t>a</w:t>
      </w:r>
      <w:r w:rsidR="00E527AE" w:rsidRPr="00F157DC">
        <w:t xml:space="preserve"> </w:t>
      </w:r>
      <w:r w:rsidR="00AF2492" w:rsidRPr="00AF2492">
        <w:t>S</w:t>
      </w:r>
      <w:r w:rsidR="00AF2492">
        <w:t>uperintendencia General de Valores</w:t>
      </w:r>
      <w:r w:rsidR="00AC5E30" w:rsidRPr="00F157DC">
        <w:t xml:space="preserve"> número </w:t>
      </w:r>
      <w:r w:rsidR="00E527AE" w:rsidRPr="00F157DC">
        <w:t>SGV-A-32</w:t>
      </w:r>
      <w:r w:rsidR="002C1F75" w:rsidRPr="00F157DC">
        <w:t xml:space="preserve"> en el artículo </w:t>
      </w:r>
      <w:r w:rsidR="00E527AE" w:rsidRPr="00F157DC">
        <w:t>número 3</w:t>
      </w:r>
      <w:r w:rsidR="0054473B" w:rsidRPr="00F157DC">
        <w:t xml:space="preserve"> o cualquier otra disposición que emita la Superintendencia </w:t>
      </w:r>
      <w:r w:rsidR="000248BC">
        <w:t xml:space="preserve">General </w:t>
      </w:r>
      <w:r w:rsidR="0054473B" w:rsidRPr="00F157DC">
        <w:t>de Valores y que guarden relación con el tema de las Cuotas de Participación Mutualista</w:t>
      </w:r>
      <w:r w:rsidR="008D3CEB" w:rsidRPr="00F157DC">
        <w:t>,</w:t>
      </w:r>
      <w:r w:rsidR="002C1F75" w:rsidRPr="00F157DC">
        <w:t xml:space="preserve"> </w:t>
      </w:r>
      <w:r w:rsidR="00A0352E" w:rsidRPr="00F157DC">
        <w:t>en caso de pérdida, robo, hurto o daño del documento que imposibilite su circulación, la Asociación Mutualista realizará la reposición de la cuota participativa siguiendo para tal efecto el trámite así dispuesto en el Código de Comercio</w:t>
      </w:r>
      <w:r w:rsidR="00475C8C">
        <w:t xml:space="preserve">, </w:t>
      </w:r>
      <w:r w:rsidR="00475C8C" w:rsidRPr="00F157DC">
        <w:t>Ley No. 7732</w:t>
      </w:r>
      <w:r w:rsidR="00475C8C">
        <w:t>.</w:t>
      </w:r>
    </w:p>
    <w:p w14:paraId="699606C9" w14:textId="77777777" w:rsidR="00D50658" w:rsidRPr="00F157DC" w:rsidRDefault="00A0352E" w:rsidP="00F157DC">
      <w:pPr>
        <w:spacing w:line="480" w:lineRule="auto"/>
        <w:jc w:val="both"/>
      </w:pPr>
      <w:r w:rsidRPr="00F157DC">
        <w:t>La reposición no prejuzga las acciones que el poseedor pueda tener contra quien haya obtenido la reposición.</w:t>
      </w:r>
    </w:p>
    <w:p w14:paraId="3B8F473A" w14:textId="77777777" w:rsidR="00C56800" w:rsidRPr="00F157DC" w:rsidRDefault="00C56800" w:rsidP="00F157DC">
      <w:pPr>
        <w:spacing w:line="480" w:lineRule="auto"/>
        <w:jc w:val="both"/>
      </w:pPr>
    </w:p>
    <w:p w14:paraId="02AC5FBB" w14:textId="77777777" w:rsidR="000849DA" w:rsidRPr="00F157DC" w:rsidRDefault="000849DA" w:rsidP="00F157DC">
      <w:pPr>
        <w:spacing w:line="480" w:lineRule="auto"/>
        <w:jc w:val="both"/>
        <w:rPr>
          <w:b/>
        </w:rPr>
      </w:pPr>
      <w:r w:rsidRPr="00F157DC">
        <w:rPr>
          <w:b/>
        </w:rPr>
        <w:t xml:space="preserve">Artículo </w:t>
      </w:r>
      <w:r w:rsidR="00454287" w:rsidRPr="00F157DC">
        <w:rPr>
          <w:b/>
        </w:rPr>
        <w:t>11</w:t>
      </w:r>
      <w:r w:rsidRPr="00F157DC">
        <w:rPr>
          <w:b/>
        </w:rPr>
        <w:t xml:space="preserve">.- Prohibiciones para las Cuotas de Participación Mutualista: </w:t>
      </w:r>
    </w:p>
    <w:p w14:paraId="29E12C60" w14:textId="77777777" w:rsidR="000849DA" w:rsidRPr="00F157DC" w:rsidRDefault="000849DA" w:rsidP="00F157DC">
      <w:pPr>
        <w:pStyle w:val="Prrafodelista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7DC">
        <w:rPr>
          <w:rFonts w:ascii="Times New Roman" w:hAnsi="Times New Roman" w:cs="Times New Roman"/>
          <w:sz w:val="24"/>
          <w:szCs w:val="24"/>
        </w:rPr>
        <w:t>Las Cuotas de Participación Mutualistas no contarán con la garantía del Banco Hipotecario de la Vivienda ni del Estado.</w:t>
      </w:r>
    </w:p>
    <w:p w14:paraId="3E70357F" w14:textId="77777777" w:rsidR="000849DA" w:rsidRPr="00F157DC" w:rsidRDefault="000849DA" w:rsidP="00F157DC">
      <w:pPr>
        <w:pStyle w:val="Prrafodelista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7DC">
        <w:rPr>
          <w:rFonts w:ascii="Times New Roman" w:hAnsi="Times New Roman" w:cs="Times New Roman"/>
          <w:sz w:val="24"/>
          <w:szCs w:val="24"/>
        </w:rPr>
        <w:t>Una Asociación Mutualista no podrá adquirir Cuotas de Participación Mutualista emitidas por otra Asociación Mutualista.</w:t>
      </w:r>
    </w:p>
    <w:p w14:paraId="71C112B7" w14:textId="77777777" w:rsidR="005D2451" w:rsidRPr="00F157DC" w:rsidRDefault="005D2451" w:rsidP="00F157DC">
      <w:pPr>
        <w:spacing w:line="480" w:lineRule="auto"/>
        <w:jc w:val="both"/>
      </w:pPr>
    </w:p>
    <w:p w14:paraId="16F7DE8F" w14:textId="77777777" w:rsidR="005D2451" w:rsidRPr="0054403E" w:rsidRDefault="000849DA" w:rsidP="00F157DC">
      <w:pPr>
        <w:spacing w:line="480" w:lineRule="auto"/>
        <w:jc w:val="both"/>
      </w:pPr>
      <w:r w:rsidRPr="00F157DC">
        <w:rPr>
          <w:b/>
        </w:rPr>
        <w:lastRenderedPageBreak/>
        <w:t xml:space="preserve">Artículo </w:t>
      </w:r>
      <w:r w:rsidR="00454287" w:rsidRPr="00F157DC">
        <w:rPr>
          <w:b/>
        </w:rPr>
        <w:t>12</w:t>
      </w:r>
      <w:r w:rsidRPr="00F157DC">
        <w:rPr>
          <w:b/>
        </w:rPr>
        <w:t xml:space="preserve">.- Limitación al monto de las Cuotas de Participación Mutualista </w:t>
      </w:r>
      <w:r w:rsidR="00D53FC9" w:rsidRPr="00F157DC">
        <w:rPr>
          <w:b/>
        </w:rPr>
        <w:t>en relación con el</w:t>
      </w:r>
      <w:r w:rsidRPr="00F157DC">
        <w:rPr>
          <w:b/>
        </w:rPr>
        <w:t xml:space="preserve"> patrimonio: </w:t>
      </w:r>
      <w:r w:rsidR="005D2451" w:rsidRPr="00F157DC">
        <w:rPr>
          <w:b/>
        </w:rPr>
        <w:t xml:space="preserve"> </w:t>
      </w:r>
      <w:r w:rsidRPr="00F157DC">
        <w:t xml:space="preserve">El monto total de las Cuotas de Participación Mutualista, suscritas y pagadas, en ningún momento podrán ser igual o superior al cincuenta por ciento (50%) de su patrimonio total. </w:t>
      </w:r>
    </w:p>
    <w:p w14:paraId="3E21D2F7" w14:textId="77777777" w:rsidR="000849DA" w:rsidRPr="00F157DC" w:rsidRDefault="000849DA" w:rsidP="00F157DC">
      <w:pPr>
        <w:spacing w:line="480" w:lineRule="auto"/>
        <w:jc w:val="both"/>
      </w:pPr>
      <w:r w:rsidRPr="00F157DC">
        <w:t>Ninguna persona física o jurídica podrá tener a su haber más de un diez por ciento (10%) del total del monto de la emisión de cuotas de participación mutualistas, para lo cual los emisores velarán por mecanismos de información que permitan a los intermediarios no realizar transacciones que conlleven sobrepasar este límite.</w:t>
      </w:r>
    </w:p>
    <w:p w14:paraId="32A71E5B" w14:textId="77777777" w:rsidR="005D2451" w:rsidRPr="00F157DC" w:rsidRDefault="005D2451" w:rsidP="00F157DC">
      <w:pPr>
        <w:spacing w:line="480" w:lineRule="auto"/>
        <w:jc w:val="both"/>
      </w:pPr>
    </w:p>
    <w:p w14:paraId="50444D9E" w14:textId="77777777" w:rsidR="000849DA" w:rsidRPr="00F157DC" w:rsidRDefault="000849DA" w:rsidP="00F157DC">
      <w:pPr>
        <w:spacing w:line="480" w:lineRule="auto"/>
        <w:jc w:val="both"/>
        <w:rPr>
          <w:color w:val="000000"/>
          <w:lang w:val="es-ES"/>
        </w:rPr>
      </w:pPr>
      <w:r w:rsidRPr="00F157DC">
        <w:rPr>
          <w:b/>
          <w:color w:val="000000"/>
          <w:lang w:val="es-ES"/>
        </w:rPr>
        <w:t xml:space="preserve">Artículo </w:t>
      </w:r>
      <w:r w:rsidR="00454287" w:rsidRPr="00F157DC">
        <w:rPr>
          <w:b/>
          <w:color w:val="000000"/>
          <w:lang w:val="es-ES"/>
        </w:rPr>
        <w:t>13</w:t>
      </w:r>
      <w:r w:rsidRPr="00F157DC">
        <w:rPr>
          <w:b/>
          <w:color w:val="000000"/>
          <w:lang w:val="es-ES"/>
        </w:rPr>
        <w:t>.</w:t>
      </w:r>
      <w:r w:rsidR="00454287" w:rsidRPr="00F157DC">
        <w:rPr>
          <w:b/>
          <w:color w:val="000000"/>
          <w:lang w:val="es-ES"/>
        </w:rPr>
        <w:t>-</w:t>
      </w:r>
      <w:r w:rsidR="00454287" w:rsidRPr="00F157DC">
        <w:rPr>
          <w:color w:val="000000"/>
          <w:lang w:val="es-ES"/>
        </w:rPr>
        <w:t xml:space="preserve"> </w:t>
      </w:r>
      <w:r w:rsidRPr="00F157DC">
        <w:rPr>
          <w:b/>
          <w:bCs/>
          <w:color w:val="000000"/>
          <w:lang w:val="es-ES"/>
        </w:rPr>
        <w:t>Vigencia</w:t>
      </w:r>
      <w:r w:rsidRPr="00F157DC">
        <w:rPr>
          <w:color w:val="000000"/>
          <w:lang w:val="es-ES"/>
        </w:rPr>
        <w:t>: Rige a partir de su publicación en el Diario Oficial.</w:t>
      </w:r>
    </w:p>
    <w:p w14:paraId="676287F4" w14:textId="77777777" w:rsidR="0046387F" w:rsidRPr="00F157DC" w:rsidRDefault="0046387F" w:rsidP="00F157DC">
      <w:pPr>
        <w:spacing w:line="480" w:lineRule="auto"/>
        <w:jc w:val="both"/>
        <w:rPr>
          <w:color w:val="000000"/>
          <w:lang w:val="es-ES"/>
        </w:rPr>
      </w:pPr>
    </w:p>
    <w:p w14:paraId="4A068883" w14:textId="77777777" w:rsidR="00A64519" w:rsidRPr="00F157DC" w:rsidRDefault="00A64519" w:rsidP="00F157DC">
      <w:pPr>
        <w:spacing w:line="480" w:lineRule="auto"/>
        <w:jc w:val="both"/>
        <w:rPr>
          <w:color w:val="000000"/>
          <w:lang w:val="es-ES"/>
        </w:rPr>
      </w:pPr>
    </w:p>
    <w:p w14:paraId="77AFE081" w14:textId="77777777" w:rsidR="0046387F" w:rsidRPr="00F157DC" w:rsidRDefault="0046387F" w:rsidP="00F157DC">
      <w:pPr>
        <w:spacing w:line="480" w:lineRule="auto"/>
        <w:jc w:val="both"/>
        <w:rPr>
          <w:color w:val="000000"/>
          <w:lang w:val="es-ES"/>
        </w:rPr>
      </w:pPr>
      <w:r w:rsidRPr="00F157DC">
        <w:rPr>
          <w:color w:val="000000"/>
          <w:lang w:val="es-ES"/>
        </w:rPr>
        <w:t xml:space="preserve">Dado en San José, a los ____ días del mes de </w:t>
      </w:r>
      <w:r w:rsidR="00CE631F" w:rsidRPr="00F157DC">
        <w:rPr>
          <w:color w:val="000000"/>
          <w:lang w:val="es-ES"/>
        </w:rPr>
        <w:t>______</w:t>
      </w:r>
      <w:r w:rsidRPr="00F157DC">
        <w:rPr>
          <w:color w:val="000000"/>
          <w:lang w:val="es-ES"/>
        </w:rPr>
        <w:t xml:space="preserve"> del 2020.</w:t>
      </w:r>
    </w:p>
    <w:p w14:paraId="3144A9AD" w14:textId="77777777" w:rsidR="007566C9" w:rsidRPr="00F157DC" w:rsidRDefault="007566C9" w:rsidP="00F157DC">
      <w:pPr>
        <w:spacing w:line="480" w:lineRule="auto"/>
        <w:jc w:val="both"/>
        <w:rPr>
          <w:color w:val="000000"/>
          <w:lang w:val="es-ES"/>
        </w:rPr>
      </w:pPr>
    </w:p>
    <w:p w14:paraId="322E3295" w14:textId="77777777" w:rsidR="007566C9" w:rsidRPr="00F157DC" w:rsidRDefault="007566C9" w:rsidP="00F157DC">
      <w:pPr>
        <w:spacing w:line="480" w:lineRule="auto"/>
        <w:jc w:val="both"/>
        <w:rPr>
          <w:color w:val="000000"/>
          <w:lang w:val="es-ES"/>
        </w:rPr>
      </w:pPr>
    </w:p>
    <w:p w14:paraId="315744B6" w14:textId="77777777" w:rsidR="007566C9" w:rsidRPr="00F157DC" w:rsidRDefault="007566C9" w:rsidP="0054403E">
      <w:pPr>
        <w:spacing w:line="480" w:lineRule="auto"/>
        <w:jc w:val="center"/>
        <w:rPr>
          <w:color w:val="000000"/>
          <w:lang w:val="es-ES"/>
        </w:rPr>
      </w:pPr>
      <w:r w:rsidRPr="00F157DC">
        <w:rPr>
          <w:color w:val="000000"/>
          <w:lang w:val="es-ES"/>
        </w:rPr>
        <w:t>CARLOS ANDRÉS ALVARADO QUESADA</w:t>
      </w:r>
    </w:p>
    <w:p w14:paraId="7BF3D800" w14:textId="77777777" w:rsidR="002B33CD" w:rsidRPr="00F157DC" w:rsidRDefault="002B33CD" w:rsidP="0054403E">
      <w:pPr>
        <w:spacing w:line="480" w:lineRule="auto"/>
        <w:jc w:val="center"/>
        <w:rPr>
          <w:color w:val="000000"/>
          <w:lang w:val="es-ES"/>
        </w:rPr>
      </w:pPr>
    </w:p>
    <w:p w14:paraId="54B268B1" w14:textId="77777777" w:rsidR="002B33CD" w:rsidRPr="00F157DC" w:rsidRDefault="002B33CD" w:rsidP="0054403E">
      <w:pPr>
        <w:spacing w:line="480" w:lineRule="auto"/>
        <w:jc w:val="center"/>
        <w:rPr>
          <w:color w:val="000000"/>
          <w:lang w:val="es-ES"/>
        </w:rPr>
      </w:pPr>
    </w:p>
    <w:p w14:paraId="5B672F55" w14:textId="77777777" w:rsidR="007566C9" w:rsidRPr="00F157DC" w:rsidRDefault="00D53FC9" w:rsidP="0054403E">
      <w:pPr>
        <w:jc w:val="center"/>
        <w:rPr>
          <w:color w:val="000000"/>
          <w:lang w:val="es-ES"/>
        </w:rPr>
      </w:pPr>
      <w:r w:rsidRPr="00F157DC">
        <w:rPr>
          <w:color w:val="000000"/>
          <w:lang w:val="es-ES"/>
        </w:rPr>
        <w:t>VÍCTOR MORALES MORA</w:t>
      </w:r>
    </w:p>
    <w:p w14:paraId="208FB256" w14:textId="77777777" w:rsidR="007566C9" w:rsidRPr="0054403E" w:rsidRDefault="00D53FC9" w:rsidP="0054403E">
      <w:pPr>
        <w:jc w:val="center"/>
        <w:rPr>
          <w:b/>
          <w:bCs/>
          <w:color w:val="000000"/>
          <w:lang w:val="es-ES"/>
        </w:rPr>
      </w:pPr>
      <w:r w:rsidRPr="0054403E">
        <w:rPr>
          <w:b/>
          <w:bCs/>
          <w:color w:val="000000"/>
          <w:lang w:val="es-ES"/>
        </w:rPr>
        <w:t>MINISTRO DE LA PRESIDENCIA</w:t>
      </w:r>
    </w:p>
    <w:p w14:paraId="43B95AA5" w14:textId="77777777" w:rsidR="002B33CD" w:rsidRPr="00F157DC" w:rsidRDefault="002B33CD" w:rsidP="0054403E">
      <w:pPr>
        <w:spacing w:line="480" w:lineRule="auto"/>
        <w:jc w:val="center"/>
        <w:rPr>
          <w:color w:val="000000"/>
          <w:lang w:val="es-ES"/>
        </w:rPr>
      </w:pPr>
    </w:p>
    <w:p w14:paraId="38D737C5" w14:textId="77777777" w:rsidR="007566C9" w:rsidRPr="00F157DC" w:rsidRDefault="007566C9" w:rsidP="0054403E">
      <w:pPr>
        <w:spacing w:line="480" w:lineRule="auto"/>
        <w:jc w:val="center"/>
        <w:rPr>
          <w:color w:val="000000"/>
          <w:lang w:val="es-ES"/>
        </w:rPr>
      </w:pPr>
    </w:p>
    <w:p w14:paraId="33835383" w14:textId="77777777" w:rsidR="007566C9" w:rsidRPr="00F157DC" w:rsidRDefault="00D53FC9" w:rsidP="0054403E">
      <w:pPr>
        <w:jc w:val="center"/>
        <w:rPr>
          <w:color w:val="000000"/>
          <w:lang w:val="es-ES"/>
        </w:rPr>
      </w:pPr>
      <w:r w:rsidRPr="00F157DC">
        <w:rPr>
          <w:color w:val="000000"/>
          <w:lang w:val="es-ES"/>
        </w:rPr>
        <w:t>IRENE CAMPOS GÓMEZ</w:t>
      </w:r>
    </w:p>
    <w:p w14:paraId="5027A55A" w14:textId="77777777" w:rsidR="00D53FC9" w:rsidRPr="0054403E" w:rsidRDefault="00D53FC9" w:rsidP="0054403E">
      <w:pPr>
        <w:jc w:val="center"/>
        <w:rPr>
          <w:b/>
          <w:bCs/>
          <w:color w:val="000000"/>
          <w:lang w:val="es-ES"/>
        </w:rPr>
      </w:pPr>
      <w:r w:rsidRPr="0054403E">
        <w:rPr>
          <w:b/>
          <w:bCs/>
          <w:color w:val="000000"/>
          <w:lang w:val="es-ES"/>
        </w:rPr>
        <w:t>MINISTRA DE VIVIENDA Y</w:t>
      </w:r>
    </w:p>
    <w:p w14:paraId="1BFF4297" w14:textId="77777777" w:rsidR="007566C9" w:rsidRPr="0054403E" w:rsidRDefault="00D53FC9" w:rsidP="0054403E">
      <w:pPr>
        <w:jc w:val="center"/>
        <w:rPr>
          <w:b/>
          <w:bCs/>
          <w:color w:val="000000"/>
          <w:lang w:val="es-ES"/>
        </w:rPr>
      </w:pPr>
      <w:r w:rsidRPr="0054403E">
        <w:rPr>
          <w:b/>
          <w:bCs/>
          <w:color w:val="000000"/>
          <w:lang w:val="es-ES"/>
        </w:rPr>
        <w:t>ASENTAMIENTOS HUMANOS</w:t>
      </w:r>
    </w:p>
    <w:sectPr w:rsidR="007566C9" w:rsidRPr="0054403E" w:rsidSect="006856B8">
      <w:footerReference w:type="default" r:id="rId8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4F54C" w14:textId="77777777" w:rsidR="00E6226B" w:rsidRDefault="00E6226B" w:rsidP="005C0B75">
      <w:r>
        <w:separator/>
      </w:r>
    </w:p>
  </w:endnote>
  <w:endnote w:type="continuationSeparator" w:id="0">
    <w:p w14:paraId="51E9FF38" w14:textId="77777777" w:rsidR="00E6226B" w:rsidRDefault="00E6226B" w:rsidP="005C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9001844"/>
      <w:docPartObj>
        <w:docPartGallery w:val="Page Numbers (Bottom of Page)"/>
        <w:docPartUnique/>
      </w:docPartObj>
    </w:sdtPr>
    <w:sdtEndPr/>
    <w:sdtContent>
      <w:p w14:paraId="567F2CF4" w14:textId="77777777" w:rsidR="00B07019" w:rsidRDefault="00B0701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7EC74B7" w14:textId="77777777" w:rsidR="00B07019" w:rsidRDefault="00B070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9D7C1" w14:textId="77777777" w:rsidR="00E6226B" w:rsidRDefault="00E6226B" w:rsidP="005C0B75">
      <w:r>
        <w:separator/>
      </w:r>
    </w:p>
  </w:footnote>
  <w:footnote w:type="continuationSeparator" w:id="0">
    <w:p w14:paraId="7F9B5023" w14:textId="77777777" w:rsidR="00E6226B" w:rsidRDefault="00E6226B" w:rsidP="005C0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B334F"/>
    <w:multiLevelType w:val="hybridMultilevel"/>
    <w:tmpl w:val="F87EBF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55178A"/>
    <w:multiLevelType w:val="hybridMultilevel"/>
    <w:tmpl w:val="C4B4EA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4D0101"/>
    <w:multiLevelType w:val="hybridMultilevel"/>
    <w:tmpl w:val="D3A05F3E"/>
    <w:lvl w:ilvl="0" w:tplc="3F366F8A">
      <w:start w:val="1"/>
      <w:numFmt w:val="decimal"/>
      <w:lvlText w:val="%1)"/>
      <w:lvlJc w:val="left"/>
      <w:pPr>
        <w:ind w:left="360" w:hanging="360"/>
      </w:pPr>
      <w:rPr>
        <w:rFonts w:ascii="Arial" w:eastAsiaTheme="minorHAnsi" w:hAnsi="Arial" w:cs="Arial" w:hint="default"/>
        <w:b w:val="0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58"/>
    <w:rsid w:val="00003B76"/>
    <w:rsid w:val="00007975"/>
    <w:rsid w:val="000248BC"/>
    <w:rsid w:val="00025E90"/>
    <w:rsid w:val="0003069A"/>
    <w:rsid w:val="00036ED9"/>
    <w:rsid w:val="00083E9D"/>
    <w:rsid w:val="000849DA"/>
    <w:rsid w:val="000A1DA5"/>
    <w:rsid w:val="000E6BBA"/>
    <w:rsid w:val="000F72BA"/>
    <w:rsid w:val="00114E2D"/>
    <w:rsid w:val="001310D4"/>
    <w:rsid w:val="001433FA"/>
    <w:rsid w:val="00151486"/>
    <w:rsid w:val="00187F93"/>
    <w:rsid w:val="001962B8"/>
    <w:rsid w:val="001A70B4"/>
    <w:rsid w:val="001C3D09"/>
    <w:rsid w:val="001D7AB0"/>
    <w:rsid w:val="002005CA"/>
    <w:rsid w:val="00210624"/>
    <w:rsid w:val="00212F10"/>
    <w:rsid w:val="00226580"/>
    <w:rsid w:val="00244C7D"/>
    <w:rsid w:val="00296955"/>
    <w:rsid w:val="002A5000"/>
    <w:rsid w:val="002B33CD"/>
    <w:rsid w:val="002B76B6"/>
    <w:rsid w:val="002C1F75"/>
    <w:rsid w:val="002C5BFB"/>
    <w:rsid w:val="002C5F44"/>
    <w:rsid w:val="002D4590"/>
    <w:rsid w:val="002F13F7"/>
    <w:rsid w:val="002F4E23"/>
    <w:rsid w:val="002F6D46"/>
    <w:rsid w:val="00311B35"/>
    <w:rsid w:val="003524BD"/>
    <w:rsid w:val="00360EC0"/>
    <w:rsid w:val="00366EB7"/>
    <w:rsid w:val="003972A7"/>
    <w:rsid w:val="003A70A6"/>
    <w:rsid w:val="003B6B3B"/>
    <w:rsid w:val="003E157B"/>
    <w:rsid w:val="00417CE3"/>
    <w:rsid w:val="0042502E"/>
    <w:rsid w:val="004254FC"/>
    <w:rsid w:val="00426375"/>
    <w:rsid w:val="00427D8A"/>
    <w:rsid w:val="004353CF"/>
    <w:rsid w:val="00442F31"/>
    <w:rsid w:val="00447577"/>
    <w:rsid w:val="00454287"/>
    <w:rsid w:val="004573A1"/>
    <w:rsid w:val="00462FE7"/>
    <w:rsid w:val="0046387F"/>
    <w:rsid w:val="0047384D"/>
    <w:rsid w:val="00475C8C"/>
    <w:rsid w:val="00492A89"/>
    <w:rsid w:val="004C6F98"/>
    <w:rsid w:val="004E156F"/>
    <w:rsid w:val="0050063C"/>
    <w:rsid w:val="00517E39"/>
    <w:rsid w:val="00530F71"/>
    <w:rsid w:val="00541B25"/>
    <w:rsid w:val="0054403E"/>
    <w:rsid w:val="0054473B"/>
    <w:rsid w:val="0056364D"/>
    <w:rsid w:val="005843EC"/>
    <w:rsid w:val="00590CEB"/>
    <w:rsid w:val="00597750"/>
    <w:rsid w:val="005A0745"/>
    <w:rsid w:val="005A634C"/>
    <w:rsid w:val="005C0B75"/>
    <w:rsid w:val="005C1A1D"/>
    <w:rsid w:val="005D2451"/>
    <w:rsid w:val="00601693"/>
    <w:rsid w:val="0060478C"/>
    <w:rsid w:val="00612B41"/>
    <w:rsid w:val="006309C2"/>
    <w:rsid w:val="0067159D"/>
    <w:rsid w:val="006856B8"/>
    <w:rsid w:val="006A1E4A"/>
    <w:rsid w:val="006B73C3"/>
    <w:rsid w:val="006C1A5C"/>
    <w:rsid w:val="006D5869"/>
    <w:rsid w:val="006E0A66"/>
    <w:rsid w:val="006F5A46"/>
    <w:rsid w:val="00706B68"/>
    <w:rsid w:val="007176F4"/>
    <w:rsid w:val="00725992"/>
    <w:rsid w:val="0073062C"/>
    <w:rsid w:val="00741259"/>
    <w:rsid w:val="007566C9"/>
    <w:rsid w:val="00777DE8"/>
    <w:rsid w:val="007E34FC"/>
    <w:rsid w:val="007E794F"/>
    <w:rsid w:val="00803288"/>
    <w:rsid w:val="008208D4"/>
    <w:rsid w:val="00827050"/>
    <w:rsid w:val="00834F00"/>
    <w:rsid w:val="00835674"/>
    <w:rsid w:val="00844B0E"/>
    <w:rsid w:val="0085453C"/>
    <w:rsid w:val="00871200"/>
    <w:rsid w:val="008D3CEB"/>
    <w:rsid w:val="008F7BE3"/>
    <w:rsid w:val="009032A6"/>
    <w:rsid w:val="009465FF"/>
    <w:rsid w:val="009614E2"/>
    <w:rsid w:val="00964F6F"/>
    <w:rsid w:val="00993B80"/>
    <w:rsid w:val="009A20A9"/>
    <w:rsid w:val="009A3A1A"/>
    <w:rsid w:val="009C6879"/>
    <w:rsid w:val="009F0A3C"/>
    <w:rsid w:val="009F18B9"/>
    <w:rsid w:val="00A0352E"/>
    <w:rsid w:val="00A046B2"/>
    <w:rsid w:val="00A32068"/>
    <w:rsid w:val="00A44B6C"/>
    <w:rsid w:val="00A60853"/>
    <w:rsid w:val="00A6194C"/>
    <w:rsid w:val="00A64519"/>
    <w:rsid w:val="00A667D2"/>
    <w:rsid w:val="00A71401"/>
    <w:rsid w:val="00AA583C"/>
    <w:rsid w:val="00AB158F"/>
    <w:rsid w:val="00AC5E30"/>
    <w:rsid w:val="00AC6EC4"/>
    <w:rsid w:val="00AF2492"/>
    <w:rsid w:val="00B03BDD"/>
    <w:rsid w:val="00B04C7A"/>
    <w:rsid w:val="00B07019"/>
    <w:rsid w:val="00B154B9"/>
    <w:rsid w:val="00B43F2B"/>
    <w:rsid w:val="00B453D9"/>
    <w:rsid w:val="00B631C0"/>
    <w:rsid w:val="00B77B2B"/>
    <w:rsid w:val="00B939A1"/>
    <w:rsid w:val="00BB0A06"/>
    <w:rsid w:val="00BB4168"/>
    <w:rsid w:val="00BC2E4B"/>
    <w:rsid w:val="00C03F34"/>
    <w:rsid w:val="00C15E3E"/>
    <w:rsid w:val="00C17264"/>
    <w:rsid w:val="00C17E6A"/>
    <w:rsid w:val="00C56800"/>
    <w:rsid w:val="00C66823"/>
    <w:rsid w:val="00C83891"/>
    <w:rsid w:val="00C94A84"/>
    <w:rsid w:val="00CD19CD"/>
    <w:rsid w:val="00CE631F"/>
    <w:rsid w:val="00CE692B"/>
    <w:rsid w:val="00CF7F7C"/>
    <w:rsid w:val="00D37A04"/>
    <w:rsid w:val="00D423DD"/>
    <w:rsid w:val="00D50658"/>
    <w:rsid w:val="00D53FC9"/>
    <w:rsid w:val="00D56CEC"/>
    <w:rsid w:val="00DC1459"/>
    <w:rsid w:val="00DD168F"/>
    <w:rsid w:val="00DF314B"/>
    <w:rsid w:val="00E03876"/>
    <w:rsid w:val="00E275EE"/>
    <w:rsid w:val="00E527AE"/>
    <w:rsid w:val="00E6226B"/>
    <w:rsid w:val="00E65A5C"/>
    <w:rsid w:val="00E66CF3"/>
    <w:rsid w:val="00E936C6"/>
    <w:rsid w:val="00E96BF5"/>
    <w:rsid w:val="00EA4C07"/>
    <w:rsid w:val="00EB6823"/>
    <w:rsid w:val="00EE142C"/>
    <w:rsid w:val="00F055F4"/>
    <w:rsid w:val="00F1154D"/>
    <w:rsid w:val="00F157DC"/>
    <w:rsid w:val="00F17A16"/>
    <w:rsid w:val="00F22E46"/>
    <w:rsid w:val="00F37BA1"/>
    <w:rsid w:val="00F40788"/>
    <w:rsid w:val="00F802EA"/>
    <w:rsid w:val="00F83A0D"/>
    <w:rsid w:val="00F97B4C"/>
    <w:rsid w:val="00FA45DD"/>
    <w:rsid w:val="00FA48B8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2E19"/>
  <w15:docId w15:val="{FC0D012D-5721-4A09-9474-555BC576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74125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4125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4125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125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125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12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259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EE142C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C0B75"/>
    <w:pPr>
      <w:spacing w:after="200" w:line="276" w:lineRule="auto"/>
    </w:pPr>
    <w:rPr>
      <w:rFonts w:ascii="Calibri" w:eastAsia="Calibri" w:hAnsi="Calibri"/>
      <w:sz w:val="20"/>
      <w:szCs w:val="20"/>
      <w:lang w:val="es-CR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C0B75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semiHidden/>
    <w:unhideWhenUsed/>
    <w:rsid w:val="005C0B75"/>
    <w:rPr>
      <w:vertAlign w:val="superscript"/>
    </w:rPr>
  </w:style>
  <w:style w:type="paragraph" w:styleId="Prrafodelista">
    <w:name w:val="List Paragraph"/>
    <w:basedOn w:val="Normal"/>
    <w:uiPriority w:val="34"/>
    <w:qFormat/>
    <w:rsid w:val="00590CE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R"/>
    </w:rPr>
  </w:style>
  <w:style w:type="paragraph" w:customStyle="1" w:styleId="Texto">
    <w:name w:val="Texto"/>
    <w:basedOn w:val="Normal"/>
    <w:link w:val="TextoChar"/>
    <w:qFormat/>
    <w:rsid w:val="00DF314B"/>
    <w:pPr>
      <w:spacing w:before="120" w:after="120" w:line="360" w:lineRule="auto"/>
      <w:jc w:val="both"/>
    </w:pPr>
    <w:rPr>
      <w:rFonts w:ascii="Cambria" w:hAnsi="Cambria"/>
      <w:sz w:val="22"/>
      <w:lang w:val="es-ES"/>
    </w:rPr>
  </w:style>
  <w:style w:type="character" w:customStyle="1" w:styleId="TextoChar">
    <w:name w:val="Texto Char"/>
    <w:basedOn w:val="Fuentedeprrafopredeter"/>
    <w:link w:val="Texto"/>
    <w:rsid w:val="00DF314B"/>
    <w:rPr>
      <w:rFonts w:ascii="Cambria" w:eastAsia="Times New Roman" w:hAnsi="Cambria" w:cs="Times New Roman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070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CR"/>
    </w:rPr>
  </w:style>
  <w:style w:type="character" w:customStyle="1" w:styleId="EncabezadoCar">
    <w:name w:val="Encabezado Car"/>
    <w:basedOn w:val="Fuentedeprrafopredeter"/>
    <w:link w:val="Encabezado"/>
    <w:uiPriority w:val="99"/>
    <w:rsid w:val="00B07019"/>
  </w:style>
  <w:style w:type="paragraph" w:styleId="Piedepgina">
    <w:name w:val="footer"/>
    <w:basedOn w:val="Normal"/>
    <w:link w:val="PiedepginaCar"/>
    <w:uiPriority w:val="99"/>
    <w:unhideWhenUsed/>
    <w:rsid w:val="00B0701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C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7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footer1.xml" Type="http://schemas.openxmlformats.org/officeDocument/2006/relationships/foot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74D9-5657-4060-8812-11DEB6B9D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1527</Words>
  <Characters>8403</Characters>
  <Application>Developed by MetaClean (www.adarsus.com) -Trial License-</Application>
  <DocSecurity>0</DocSecurity>
  <Lines>70</Lines>
  <Paragraphs>19</Paragraphs>
  <ScaleCrop>false</ScaleCrop>
  <HeadingPairs>
    <vt:vector baseType="variant" size="4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baseType="lpstr" size="2">
      <vt:lpstr/>
      <vt:lpstr/>
    </vt:vector>
  </TitlesOfParts>
  <Company/>
  <LinksUpToDate>false</LinksUpToDate>
  <CharactersWithSpaces>9911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